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06E437B4" w:rsidR="008037BA" w:rsidRPr="00463062" w:rsidRDefault="00503E15" w:rsidP="008037BA">
      <w:pPr>
        <w:spacing w:after="0" w:line="240" w:lineRule="auto"/>
        <w:rPr>
          <w:rFonts w:ascii="Arial" w:hAnsi="Arial" w:cs="Arial"/>
        </w:rPr>
      </w:pPr>
      <w:r w:rsidRPr="007234FB">
        <w:rPr>
          <w:rFonts w:ascii="Arial" w:hAnsi="Arial" w:cs="Arial"/>
        </w:rPr>
        <w:t>GM.272.</w:t>
      </w:r>
      <w:r w:rsidR="00C60B4E" w:rsidRPr="007234FB">
        <w:rPr>
          <w:rFonts w:ascii="Arial" w:hAnsi="Arial" w:cs="Arial"/>
        </w:rPr>
        <w:t>1</w:t>
      </w:r>
      <w:r w:rsidR="007234FB" w:rsidRPr="007234FB">
        <w:rPr>
          <w:rFonts w:ascii="Arial" w:hAnsi="Arial" w:cs="Arial"/>
        </w:rPr>
        <w:t>.1</w:t>
      </w:r>
      <w:r w:rsidR="00BF0E98" w:rsidRPr="007234FB">
        <w:rPr>
          <w:rFonts w:ascii="Arial" w:hAnsi="Arial" w:cs="Arial"/>
        </w:rPr>
        <w:t>.</w:t>
      </w:r>
      <w:r w:rsidR="00C60B4E" w:rsidRPr="007234FB">
        <w:rPr>
          <w:rFonts w:ascii="Arial" w:hAnsi="Arial" w:cs="Arial"/>
        </w:rPr>
        <w:t>202</w:t>
      </w:r>
      <w:r w:rsidR="00FB0AD0" w:rsidRPr="007234FB">
        <w:rPr>
          <w:rFonts w:ascii="Arial" w:hAnsi="Arial" w:cs="Arial"/>
        </w:rPr>
        <w:t>2</w:t>
      </w:r>
    </w:p>
    <w:p w14:paraId="56D2B313" w14:textId="15422A4B" w:rsidR="009015C9" w:rsidRPr="00FB0AD0" w:rsidRDefault="00414736" w:rsidP="009015C9">
      <w:pPr>
        <w:spacing w:after="0" w:line="240" w:lineRule="auto"/>
        <w:rPr>
          <w:rFonts w:ascii="Arial" w:hAnsi="Arial" w:cs="Arial"/>
          <w:color w:val="FF0000"/>
        </w:rPr>
      </w:pPr>
      <w:r w:rsidRPr="00463062">
        <w:rPr>
          <w:rFonts w:ascii="Arial" w:hAnsi="Arial" w:cs="Arial"/>
        </w:rPr>
        <w:t>Biuletyn Zamówień Publicznych – ogłoszenie o zamówieniu Nr</w:t>
      </w:r>
      <w:r w:rsidR="0097341D" w:rsidRPr="00463062">
        <w:rPr>
          <w:rFonts w:ascii="Arial" w:hAnsi="Arial" w:cs="Arial"/>
        </w:rPr>
        <w:t xml:space="preserve"> </w:t>
      </w:r>
      <w:r w:rsidR="00CA7C15" w:rsidRPr="00463062">
        <w:rPr>
          <w:rFonts w:ascii="Arial" w:eastAsia="Times New Roman" w:hAnsi="Arial" w:cs="Arial"/>
          <w:lang w:eastAsia="pl-PL"/>
        </w:rPr>
        <w:t>202</w:t>
      </w:r>
      <w:r w:rsidR="00FB0AD0" w:rsidRPr="00463062">
        <w:rPr>
          <w:rFonts w:ascii="Arial" w:eastAsia="Times New Roman" w:hAnsi="Arial" w:cs="Arial"/>
          <w:lang w:eastAsia="pl-PL"/>
        </w:rPr>
        <w:t>2</w:t>
      </w:r>
      <w:r w:rsidR="00CA7C15" w:rsidRPr="00463062">
        <w:rPr>
          <w:rFonts w:ascii="Arial" w:eastAsia="Times New Roman" w:hAnsi="Arial" w:cs="Arial"/>
          <w:lang w:eastAsia="pl-PL"/>
        </w:rPr>
        <w:t>/BZP</w:t>
      </w:r>
      <w:r w:rsidR="00FB0AD0" w:rsidRPr="00463062">
        <w:rPr>
          <w:rFonts w:ascii="Arial" w:eastAsia="Times New Roman" w:hAnsi="Arial" w:cs="Arial"/>
          <w:lang w:eastAsia="pl-PL"/>
        </w:rPr>
        <w:t xml:space="preserve"> </w:t>
      </w:r>
      <w:r w:rsidR="00CA7C15" w:rsidRPr="00463062">
        <w:rPr>
          <w:rFonts w:ascii="Arial" w:eastAsia="Times New Roman" w:hAnsi="Arial" w:cs="Arial"/>
          <w:lang w:eastAsia="pl-PL"/>
        </w:rPr>
        <w:t>00</w:t>
      </w:r>
      <w:r w:rsidR="00463062" w:rsidRPr="00463062">
        <w:rPr>
          <w:rFonts w:ascii="Arial" w:eastAsia="Times New Roman" w:hAnsi="Arial" w:cs="Arial"/>
          <w:lang w:eastAsia="pl-PL"/>
        </w:rPr>
        <w:t>098532</w:t>
      </w:r>
      <w:r w:rsidR="00CA7C15" w:rsidRPr="00463062">
        <w:rPr>
          <w:rFonts w:ascii="Arial" w:eastAsia="Times New Roman" w:hAnsi="Arial" w:cs="Arial"/>
          <w:lang w:eastAsia="pl-PL"/>
        </w:rPr>
        <w:t xml:space="preserve">/01 </w:t>
      </w:r>
      <w:r w:rsidR="00AC0D1A" w:rsidRPr="00463062">
        <w:rPr>
          <w:rFonts w:ascii="Arial" w:eastAsia="Times New Roman" w:hAnsi="Arial" w:cs="Arial"/>
          <w:lang w:eastAsia="pl-PL"/>
        </w:rPr>
        <w:t xml:space="preserve">z dnia </w:t>
      </w:r>
      <w:r w:rsidR="00FD2D13" w:rsidRPr="001115C7">
        <w:rPr>
          <w:rFonts w:ascii="Arial" w:eastAsia="Times New Roman" w:hAnsi="Arial" w:cs="Arial"/>
          <w:lang w:eastAsia="pl-PL"/>
        </w:rPr>
        <w:t>2</w:t>
      </w:r>
      <w:r w:rsidR="001115C7" w:rsidRPr="001115C7">
        <w:rPr>
          <w:rFonts w:ascii="Arial" w:eastAsia="Times New Roman" w:hAnsi="Arial" w:cs="Arial"/>
          <w:lang w:eastAsia="pl-PL"/>
        </w:rPr>
        <w:t>5</w:t>
      </w:r>
      <w:r w:rsidR="00BD24CE" w:rsidRPr="001115C7">
        <w:rPr>
          <w:rFonts w:ascii="Arial" w:eastAsia="Times New Roman" w:hAnsi="Arial" w:cs="Arial"/>
          <w:lang w:eastAsia="pl-PL"/>
        </w:rPr>
        <w:t>.</w:t>
      </w:r>
      <w:r w:rsidR="00FB0AD0" w:rsidRPr="001115C7">
        <w:rPr>
          <w:rFonts w:ascii="Arial" w:eastAsia="Times New Roman" w:hAnsi="Arial" w:cs="Arial"/>
          <w:lang w:eastAsia="pl-PL"/>
        </w:rPr>
        <w:t>03</w:t>
      </w:r>
      <w:r w:rsidR="00BD24CE" w:rsidRPr="001115C7">
        <w:rPr>
          <w:rFonts w:ascii="Arial" w:eastAsia="Times New Roman" w:hAnsi="Arial" w:cs="Arial"/>
          <w:lang w:eastAsia="pl-PL"/>
        </w:rPr>
        <w:t>.202</w:t>
      </w:r>
      <w:r w:rsidR="00FB0AD0" w:rsidRPr="001115C7">
        <w:rPr>
          <w:rFonts w:ascii="Arial" w:eastAsia="Times New Roman" w:hAnsi="Arial" w:cs="Arial"/>
          <w:lang w:eastAsia="pl-PL"/>
        </w:rPr>
        <w:t>2</w:t>
      </w:r>
      <w:r w:rsidR="00BD24CE" w:rsidRPr="001115C7">
        <w:rPr>
          <w:rFonts w:ascii="Arial" w:eastAsia="Times New Roman" w:hAnsi="Arial" w:cs="Arial"/>
          <w:lang w:eastAsia="pl-PL"/>
        </w:rPr>
        <w:t xml:space="preserve">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008C761C" w14:textId="77777777" w:rsidR="00FB0AD0" w:rsidRPr="007A097F" w:rsidRDefault="00FB0AD0" w:rsidP="00FB0AD0">
      <w:pPr>
        <w:spacing w:after="0" w:line="240" w:lineRule="auto"/>
        <w:jc w:val="center"/>
        <w:rPr>
          <w:rFonts w:ascii="Arial" w:hAnsi="Arial" w:cs="Arial"/>
          <w:b/>
          <w:bCs/>
          <w:i/>
          <w:iCs/>
          <w:sz w:val="28"/>
          <w:szCs w:val="28"/>
        </w:rPr>
      </w:pPr>
      <w:r w:rsidRPr="007A097F">
        <w:rPr>
          <w:rFonts w:ascii="Arial" w:hAnsi="Arial" w:cs="Arial"/>
          <w:b/>
          <w:bCs/>
          <w:i/>
          <w:iCs/>
          <w:sz w:val="28"/>
          <w:szCs w:val="28"/>
        </w:rPr>
        <w:t>Przebudowa ciągu komunikacyjnego obejmującego drogę powiatową Nr 1248N na odcinku Tereszewo – Nielbark oraz drogę powiatową Nr 1319N na odcinku Kurzętnik - Kaługa</w:t>
      </w:r>
    </w:p>
    <w:p w14:paraId="7D4697C3" w14:textId="77777777" w:rsidR="00BF059E" w:rsidRPr="00671FD0" w:rsidRDefault="00BF059E" w:rsidP="00BF059E">
      <w:pPr>
        <w:spacing w:after="0" w:line="240" w:lineRule="auto"/>
        <w:jc w:val="center"/>
        <w:rPr>
          <w:rFonts w:ascii="Arial" w:hAnsi="Arial" w:cs="Arial"/>
        </w:rPr>
      </w:pP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18ADA1AA"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4829906"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 Wykaz robót (wzór)</w:t>
      </w:r>
    </w:p>
    <w:bookmarkEnd w:id="1"/>
    <w:p w14:paraId="19AEA137" w14:textId="61C046F4"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FD2D13">
        <w:rPr>
          <w:rFonts w:ascii="Arial" w:hAnsi="Arial" w:cs="Arial"/>
        </w:rPr>
        <w:t>7</w:t>
      </w:r>
      <w:r w:rsidRPr="007D2A2F">
        <w:rPr>
          <w:rFonts w:ascii="Arial" w:hAnsi="Arial" w:cs="Arial"/>
        </w:rPr>
        <w:t xml:space="preserve"> Wykaz osób (wzór)</w:t>
      </w:r>
    </w:p>
    <w:p w14:paraId="056EDC60" w14:textId="4153C2C2" w:rsidR="00EA6CE4"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11A0DFDE" w:rsidR="006004E2" w:rsidRPr="00671FD0" w:rsidRDefault="00EA6CE4" w:rsidP="006004E2">
      <w:pPr>
        <w:spacing w:after="0" w:line="240" w:lineRule="auto"/>
        <w:rPr>
          <w:rFonts w:ascii="Arial" w:hAnsi="Arial" w:cs="Arial"/>
        </w:rPr>
      </w:pPr>
      <w:r>
        <w:rPr>
          <w:rFonts w:ascii="Arial" w:hAnsi="Arial" w:cs="Arial"/>
        </w:rPr>
        <w:t xml:space="preserve">Załącznik nr </w:t>
      </w:r>
      <w:r w:rsidR="00FD2D13">
        <w:rPr>
          <w:rFonts w:ascii="Arial" w:hAnsi="Arial" w:cs="Arial"/>
        </w:rPr>
        <w:t>9</w:t>
      </w:r>
      <w:r>
        <w:rPr>
          <w:rFonts w:ascii="Arial" w:hAnsi="Arial" w:cs="Arial"/>
        </w:rPr>
        <w:t xml:space="preserve"> </w:t>
      </w:r>
      <w:r w:rsidR="006004E2" w:rsidRPr="00671FD0">
        <w:rPr>
          <w:rFonts w:ascii="Arial" w:hAnsi="Arial" w:cs="Arial"/>
        </w:rPr>
        <w:t>Dokumentacja projektowa</w:t>
      </w:r>
    </w:p>
    <w:p w14:paraId="2EC131A3" w14:textId="17F207A4"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10</w:t>
      </w:r>
      <w:r w:rsidR="00D12388">
        <w:rPr>
          <w:rFonts w:ascii="Arial" w:hAnsi="Arial" w:cs="Arial"/>
        </w:rPr>
        <w:t>a i 10b</w:t>
      </w:r>
      <w:r w:rsidR="00C76DA2">
        <w:rPr>
          <w:rFonts w:ascii="Arial" w:hAnsi="Arial" w:cs="Arial"/>
        </w:rPr>
        <w:t xml:space="preserve"> </w:t>
      </w:r>
      <w:r w:rsidRPr="00671FD0">
        <w:rPr>
          <w:rFonts w:ascii="Arial" w:hAnsi="Arial" w:cs="Arial"/>
        </w:rPr>
        <w:t>Specyfikacje techniczne wykonania i odbioru robót</w:t>
      </w:r>
    </w:p>
    <w:p w14:paraId="449A122E" w14:textId="5AEF77EF"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C76DA2">
        <w:rPr>
          <w:rFonts w:ascii="Arial" w:hAnsi="Arial" w:cs="Arial"/>
        </w:rPr>
        <w:t>1</w:t>
      </w:r>
      <w:r w:rsidR="00FD2D13">
        <w:rPr>
          <w:rFonts w:ascii="Arial" w:hAnsi="Arial" w:cs="Arial"/>
        </w:rPr>
        <w:t>1</w:t>
      </w:r>
      <w:r w:rsidR="007234FB">
        <w:rPr>
          <w:rFonts w:ascii="Arial" w:hAnsi="Arial" w:cs="Arial"/>
        </w:rPr>
        <w:t>a, 11b i 11c</w:t>
      </w:r>
      <w:r w:rsidRPr="00671FD0">
        <w:rPr>
          <w:rFonts w:ascii="Arial" w:hAnsi="Arial" w:cs="Arial"/>
        </w:rPr>
        <w:t xml:space="preserve"> Przedmiar robót </w:t>
      </w:r>
    </w:p>
    <w:bookmarkEnd w:id="0"/>
    <w:p w14:paraId="65B851FD" w14:textId="77777777" w:rsidR="00D9461B" w:rsidRPr="00671FD0" w:rsidRDefault="00D9461B" w:rsidP="009015C9">
      <w:pPr>
        <w:spacing w:after="0" w:line="240" w:lineRule="auto"/>
        <w:jc w:val="center"/>
        <w:rPr>
          <w:rFonts w:ascii="Arial" w:hAnsi="Arial" w:cs="Arial"/>
        </w:rPr>
      </w:pPr>
    </w:p>
    <w:p w14:paraId="6B2E4A99" w14:textId="77777777" w:rsidR="00D9461B" w:rsidRPr="00671FD0" w:rsidRDefault="00D9461B" w:rsidP="009015C9">
      <w:pPr>
        <w:spacing w:after="0" w:line="240" w:lineRule="auto"/>
        <w:jc w:val="center"/>
        <w:rPr>
          <w:rFonts w:ascii="Arial" w:hAnsi="Arial" w:cs="Arial"/>
        </w:rPr>
      </w:pPr>
    </w:p>
    <w:p w14:paraId="69F0BACD" w14:textId="77777777" w:rsidR="00D9461B" w:rsidRPr="00671FD0" w:rsidRDefault="00D9461B" w:rsidP="009015C9">
      <w:pPr>
        <w:spacing w:after="0" w:line="240" w:lineRule="auto"/>
        <w:jc w:val="center"/>
        <w:rPr>
          <w:rFonts w:ascii="Arial" w:hAnsi="Arial" w:cs="Arial"/>
        </w:rPr>
      </w:pPr>
    </w:p>
    <w:p w14:paraId="533B47FA" w14:textId="77777777" w:rsidR="00B153C6" w:rsidRPr="00671FD0" w:rsidRDefault="00B153C6" w:rsidP="009015C9">
      <w:pPr>
        <w:spacing w:after="0" w:line="240" w:lineRule="auto"/>
        <w:jc w:val="center"/>
        <w:rPr>
          <w:rFonts w:ascii="Arial" w:hAnsi="Arial" w:cs="Arial"/>
        </w:rPr>
      </w:pPr>
    </w:p>
    <w:p w14:paraId="2445252D" w14:textId="77777777" w:rsidR="00D9461B" w:rsidRPr="00671FD0" w:rsidRDefault="00D9461B" w:rsidP="003C6A04">
      <w:pPr>
        <w:spacing w:after="0" w:line="240" w:lineRule="auto"/>
        <w:rPr>
          <w:rFonts w:ascii="Arial" w:hAnsi="Arial" w:cs="Arial"/>
        </w:rPr>
      </w:pPr>
    </w:p>
    <w:p w14:paraId="71D9EB09" w14:textId="77777777" w:rsidR="00FD2D13" w:rsidRDefault="00FD2D13" w:rsidP="006004E2">
      <w:pPr>
        <w:spacing w:after="0" w:line="240" w:lineRule="auto"/>
        <w:jc w:val="center"/>
        <w:rPr>
          <w:rFonts w:ascii="Arial" w:hAnsi="Arial" w:cs="Arial"/>
        </w:rPr>
      </w:pPr>
    </w:p>
    <w:p w14:paraId="2C2999D5" w14:textId="77777777" w:rsidR="00FD2D13" w:rsidRDefault="00FD2D13" w:rsidP="006004E2">
      <w:pPr>
        <w:spacing w:after="0" w:line="240" w:lineRule="auto"/>
        <w:jc w:val="center"/>
        <w:rPr>
          <w:rFonts w:ascii="Arial" w:hAnsi="Arial" w:cs="Arial"/>
        </w:rPr>
      </w:pPr>
    </w:p>
    <w:p w14:paraId="283AD345" w14:textId="77777777" w:rsidR="00FD2D13" w:rsidRDefault="00FD2D13" w:rsidP="006004E2">
      <w:pPr>
        <w:spacing w:after="0" w:line="240" w:lineRule="auto"/>
        <w:jc w:val="center"/>
        <w:rPr>
          <w:rFonts w:ascii="Arial" w:hAnsi="Arial" w:cs="Arial"/>
        </w:rPr>
      </w:pPr>
    </w:p>
    <w:p w14:paraId="0BB003A5" w14:textId="308D8B9B" w:rsidR="009015C9" w:rsidRPr="00671FD0" w:rsidRDefault="00FB0AD0" w:rsidP="006004E2">
      <w:pPr>
        <w:spacing w:after="0" w:line="240" w:lineRule="auto"/>
        <w:jc w:val="center"/>
        <w:rPr>
          <w:rFonts w:ascii="Arial" w:hAnsi="Arial" w:cs="Arial"/>
        </w:rPr>
      </w:pPr>
      <w:r>
        <w:rPr>
          <w:rFonts w:ascii="Arial" w:hAnsi="Arial" w:cs="Arial"/>
        </w:rPr>
        <w:t>Marzec</w:t>
      </w:r>
      <w:r w:rsidR="00C60B4E" w:rsidRPr="00671FD0">
        <w:rPr>
          <w:rFonts w:ascii="Arial" w:hAnsi="Arial" w:cs="Arial"/>
        </w:rPr>
        <w:t xml:space="preserve"> 202</w:t>
      </w:r>
      <w:r>
        <w:rPr>
          <w:rFonts w:ascii="Arial" w:hAnsi="Arial" w:cs="Arial"/>
        </w:rPr>
        <w:t>2</w:t>
      </w:r>
    </w:p>
    <w:p w14:paraId="7A8891AD" w14:textId="5AD79B37" w:rsidR="003B5A01" w:rsidRDefault="003B5A01" w:rsidP="006004E2">
      <w:pPr>
        <w:spacing w:after="0" w:line="240" w:lineRule="auto"/>
        <w:jc w:val="center"/>
        <w:rPr>
          <w:rFonts w:ascii="Arial" w:hAnsi="Arial" w:cs="Arial"/>
        </w:rPr>
      </w:pPr>
    </w:p>
    <w:p w14:paraId="1C6A6912" w14:textId="394D9415" w:rsidR="00FD2D13" w:rsidRDefault="00FD2D13" w:rsidP="006004E2">
      <w:pPr>
        <w:spacing w:after="0" w:line="240" w:lineRule="auto"/>
        <w:jc w:val="center"/>
        <w:rPr>
          <w:rFonts w:ascii="Arial" w:hAnsi="Arial" w:cs="Arial"/>
        </w:rPr>
      </w:pPr>
    </w:p>
    <w:p w14:paraId="7036BA79" w14:textId="7E9CB3C8" w:rsidR="00FD2D13" w:rsidRDefault="00FD2D13" w:rsidP="006004E2">
      <w:pPr>
        <w:spacing w:after="0" w:line="240" w:lineRule="auto"/>
        <w:jc w:val="center"/>
        <w:rPr>
          <w:rFonts w:ascii="Arial" w:hAnsi="Arial" w:cs="Arial"/>
        </w:rPr>
      </w:pPr>
    </w:p>
    <w:p w14:paraId="5CA9FB5D" w14:textId="77777777" w:rsidR="00FD2D13" w:rsidRPr="00671FD0" w:rsidRDefault="00FD2D13" w:rsidP="006004E2">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6"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7"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8"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B27EE6"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D2D13">
        <w:rPr>
          <w:rFonts w:ascii="Arial" w:hAnsi="Arial" w:cs="Arial"/>
        </w:rPr>
        <w:t>2</w:t>
      </w:r>
      <w:r w:rsidR="00C91F6C">
        <w:rPr>
          <w:rFonts w:ascii="Arial" w:hAnsi="Arial" w:cs="Arial"/>
        </w:rPr>
        <w:t xml:space="preserve">1r. poz. </w:t>
      </w:r>
      <w:r w:rsidR="00FD2D13">
        <w:rPr>
          <w:rFonts w:ascii="Arial" w:hAnsi="Arial" w:cs="Arial"/>
        </w:rPr>
        <w:t>11</w:t>
      </w:r>
      <w:r w:rsidR="00C91F6C">
        <w:rPr>
          <w:rFonts w:ascii="Arial" w:hAnsi="Arial" w:cs="Arial"/>
        </w:rPr>
        <w:t>29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ADD98B2" w:rsidR="00D31CB1" w:rsidRDefault="00D31CB1" w:rsidP="00FA0520">
      <w:pPr>
        <w:numPr>
          <w:ilvl w:val="1"/>
          <w:numId w:val="2"/>
        </w:numPr>
        <w:spacing w:after="0" w:line="240" w:lineRule="auto"/>
        <w:jc w:val="both"/>
        <w:rPr>
          <w:rFonts w:ascii="Arial" w:hAnsi="Arial" w:cs="Arial"/>
        </w:rPr>
      </w:pPr>
      <w:bookmarkStart w:id="3" w:name="_Hlk65672108"/>
      <w:r w:rsidRPr="00671FD0">
        <w:rPr>
          <w:rFonts w:ascii="Arial" w:hAnsi="Arial" w:cs="Arial"/>
        </w:rPr>
        <w:t xml:space="preserve">Zamawiający nie dopuszcza składania ofert </w:t>
      </w:r>
      <w:bookmarkEnd w:id="3"/>
      <w:r w:rsidRPr="00671FD0">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53F9E51D" w:rsidR="00E55594" w:rsidRDefault="00E55594" w:rsidP="00E5559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4D76699" w14:textId="0A5F4259" w:rsidR="00CD5267" w:rsidRPr="00CD5267" w:rsidRDefault="00CD5267" w:rsidP="00CD5267">
      <w:pPr>
        <w:spacing w:after="0" w:line="240" w:lineRule="auto"/>
        <w:jc w:val="both"/>
        <w:rPr>
          <w:rFonts w:ascii="Arial" w:hAnsi="Arial" w:cs="Arial"/>
        </w:rPr>
      </w:pPr>
      <w:r>
        <w:rPr>
          <w:rFonts w:ascii="Arial" w:hAnsi="Arial" w:cs="Arial"/>
        </w:rPr>
        <w:t xml:space="preserve">2.16 </w:t>
      </w:r>
      <w:r w:rsidR="003A66A7">
        <w:rPr>
          <w:rFonts w:ascii="Arial" w:hAnsi="Arial" w:cs="Arial"/>
        </w:rPr>
        <w:t xml:space="preserve">W zakresie nieuregulowanym SWZ zastosowanie mają przepisy powszechnie obowiązującego prawa, w tym ustawy PZP, rozporządzenia w sprawie podmiotowych środków dowodowych, rozporządzenia w sprawie sposobu sporządzania i przekazywania informacji oraz wymagań technicznych dla dokumentów elektronicznych oraz środków komunikacji elektronicznej oraz ustawy Kodeks Cywilny. </w:t>
      </w:r>
    </w:p>
    <w:bookmarkEnd w:id="2"/>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31106FE5" w14:textId="7B5DE533" w:rsidR="00FB0AD0" w:rsidRPr="00FB0AD0" w:rsidRDefault="00636E2A" w:rsidP="00FB0AD0">
      <w:pPr>
        <w:spacing w:after="0" w:line="240" w:lineRule="auto"/>
        <w:rPr>
          <w:rFonts w:ascii="Arial" w:hAnsi="Arial" w:cs="Arial"/>
          <w:b/>
          <w:bCs/>
          <w:i/>
          <w:iCs/>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FB0AD0" w:rsidRPr="00FB0AD0">
        <w:rPr>
          <w:rFonts w:ascii="Arial" w:hAnsi="Arial" w:cs="Arial"/>
          <w:b/>
          <w:bCs/>
          <w:i/>
          <w:iCs/>
        </w:rPr>
        <w:t>Przebudow</w:t>
      </w:r>
      <w:r w:rsidR="00FB0AD0">
        <w:rPr>
          <w:rFonts w:ascii="Arial" w:hAnsi="Arial" w:cs="Arial"/>
          <w:b/>
          <w:bCs/>
          <w:i/>
          <w:iCs/>
        </w:rPr>
        <w:t>ą</w:t>
      </w:r>
      <w:r w:rsidR="00FB0AD0" w:rsidRPr="00FB0AD0">
        <w:rPr>
          <w:rFonts w:ascii="Arial" w:hAnsi="Arial" w:cs="Arial"/>
          <w:b/>
          <w:bCs/>
          <w:i/>
          <w:iCs/>
        </w:rPr>
        <w:t xml:space="preserve"> ciągu</w:t>
      </w:r>
      <w:r w:rsidR="007A097F">
        <w:rPr>
          <w:rFonts w:ascii="Arial" w:hAnsi="Arial" w:cs="Arial"/>
          <w:b/>
          <w:bCs/>
          <w:i/>
          <w:iCs/>
        </w:rPr>
        <w:t xml:space="preserve"> </w:t>
      </w:r>
      <w:r w:rsidR="00FB0AD0" w:rsidRPr="00FB0AD0">
        <w:rPr>
          <w:rFonts w:ascii="Arial" w:hAnsi="Arial" w:cs="Arial"/>
          <w:b/>
          <w:bCs/>
          <w:i/>
          <w:iCs/>
        </w:rPr>
        <w:t>komunikacyjnego obejmującego drogę powiatową Nr 1248N na odcinku Tereszewo – Nielbark oraz drogę powiatową Nr 1319N na odcinku Kurzętnik - Kaługa</w:t>
      </w:r>
    </w:p>
    <w:p w14:paraId="2BA3A886" w14:textId="5EA16A6F" w:rsidR="00636E2A" w:rsidRPr="00671FD0" w:rsidRDefault="005733A7" w:rsidP="00FB0AD0">
      <w:pPr>
        <w:spacing w:after="0" w:line="240" w:lineRule="auto"/>
        <w:rPr>
          <w:rFonts w:ascii="Arial" w:hAnsi="Arial" w:cs="Arial"/>
        </w:rPr>
      </w:pPr>
      <w:r>
        <w:rPr>
          <w:rFonts w:ascii="Arial" w:hAnsi="Arial" w:cs="Arial"/>
        </w:rPr>
        <w:t>B</w:t>
      </w:r>
      <w:r w:rsidR="00836A32" w:rsidRPr="00671FD0">
        <w:rPr>
          <w:rFonts w:ascii="Arial" w:hAnsi="Arial" w:cs="Arial"/>
        </w:rPr>
        <w:t>udowa drogi</w:t>
      </w:r>
      <w:r w:rsidR="00674A6C" w:rsidRPr="00671FD0">
        <w:rPr>
          <w:rFonts w:ascii="Arial" w:hAnsi="Arial" w:cs="Arial"/>
        </w:rPr>
        <w:t xml:space="preserve"> obejmuje</w:t>
      </w:r>
      <w:r w:rsidR="00836A32"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Roboty przygotowawcze, w tym:</w:t>
      </w:r>
    </w:p>
    <w:p w14:paraId="4312961E" w14:textId="77777777" w:rsidR="00560691"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Roboty pomiarowe</w:t>
      </w:r>
    </w:p>
    <w:p w14:paraId="3B15C7C1" w14:textId="58715F9B" w:rsidR="00B153C6"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lastRenderedPageBreak/>
        <w:t>Roboty ziemne</w:t>
      </w:r>
    </w:p>
    <w:p w14:paraId="106DA28A" w14:textId="730C53C1" w:rsidR="00656E42" w:rsidRPr="007A097F" w:rsidRDefault="00656E42"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 xml:space="preserve">Roboty rozbiórkowe </w:t>
      </w:r>
    </w:p>
    <w:p w14:paraId="4D9CFC32" w14:textId="77777777" w:rsidR="00560691"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Karczowanie pni</w:t>
      </w:r>
    </w:p>
    <w:p w14:paraId="67066833"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Odwodnienie:</w:t>
      </w:r>
    </w:p>
    <w:p w14:paraId="5CD1A7B5" w14:textId="3911D315" w:rsidR="002F0C6A"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wpustów ulicznych z</w:t>
      </w:r>
      <w:r w:rsidR="00560691" w:rsidRPr="007A097F">
        <w:rPr>
          <w:rFonts w:ascii="Arial" w:hAnsi="Arial" w:cs="Arial"/>
        </w:rPr>
        <w:t xml:space="preserve"> </w:t>
      </w:r>
      <w:proofErr w:type="spellStart"/>
      <w:r w:rsidR="00560691" w:rsidRPr="007A097F">
        <w:rPr>
          <w:rFonts w:ascii="Arial" w:hAnsi="Arial" w:cs="Arial"/>
        </w:rPr>
        <w:t>przykanalik</w:t>
      </w:r>
      <w:r w:rsidR="002F0C6A" w:rsidRPr="007A097F">
        <w:rPr>
          <w:rFonts w:ascii="Arial" w:hAnsi="Arial" w:cs="Arial"/>
        </w:rPr>
        <w:t>ami</w:t>
      </w:r>
      <w:proofErr w:type="spellEnd"/>
      <w:r w:rsidR="002F0C6A" w:rsidRPr="007A097F">
        <w:rPr>
          <w:rFonts w:ascii="Arial" w:hAnsi="Arial" w:cs="Arial"/>
        </w:rPr>
        <w:t xml:space="preserve"> </w:t>
      </w:r>
    </w:p>
    <w:p w14:paraId="336971D0" w14:textId="41C9A3B5" w:rsidR="00560691"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przepustów pod drogą </w:t>
      </w:r>
      <w:r w:rsidR="00B153C6" w:rsidRPr="007A097F">
        <w:rPr>
          <w:rFonts w:ascii="Arial" w:hAnsi="Arial" w:cs="Arial"/>
        </w:rPr>
        <w:t xml:space="preserve"> </w:t>
      </w:r>
      <w:r w:rsidR="002F0C6A" w:rsidRPr="007A097F">
        <w:rPr>
          <w:rFonts w:ascii="Arial" w:hAnsi="Arial" w:cs="Arial"/>
        </w:rPr>
        <w:t xml:space="preserve">i zjazdami </w:t>
      </w:r>
    </w:p>
    <w:p w14:paraId="3C341E9A" w14:textId="0C2F33E6" w:rsidR="002F0C6A" w:rsidRPr="007A097F" w:rsidRDefault="002F0C6A"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w:t>
      </w:r>
      <w:r w:rsidR="007A097F" w:rsidRPr="007A097F">
        <w:rPr>
          <w:rFonts w:ascii="Arial" w:hAnsi="Arial" w:cs="Arial"/>
        </w:rPr>
        <w:t xml:space="preserve">miana studni ściekowych i rewizyjnych </w:t>
      </w:r>
      <w:r w:rsidRPr="007A097F">
        <w:rPr>
          <w:rFonts w:ascii="Arial" w:hAnsi="Arial" w:cs="Arial"/>
        </w:rPr>
        <w:t xml:space="preserve"> </w:t>
      </w:r>
    </w:p>
    <w:p w14:paraId="52AAFA03" w14:textId="5AD11AF0" w:rsidR="00C44793" w:rsidRPr="007A097F" w:rsidRDefault="00560691" w:rsidP="007A097F">
      <w:pPr>
        <w:pStyle w:val="Akapitzlist"/>
        <w:numPr>
          <w:ilvl w:val="0"/>
          <w:numId w:val="31"/>
        </w:numPr>
        <w:spacing w:after="0" w:line="240" w:lineRule="auto"/>
        <w:ind w:left="717"/>
        <w:jc w:val="both"/>
        <w:rPr>
          <w:rFonts w:ascii="Arial" w:hAnsi="Arial" w:cs="Arial"/>
        </w:rPr>
      </w:pPr>
      <w:r w:rsidRPr="007A097F">
        <w:rPr>
          <w:rFonts w:ascii="Arial" w:hAnsi="Arial" w:cs="Arial"/>
        </w:rPr>
        <w:t>Jezdnia:</w:t>
      </w:r>
    </w:p>
    <w:p w14:paraId="109466E3" w14:textId="3BFC27A0" w:rsidR="00C44793" w:rsidRPr="007A097F" w:rsidRDefault="00560691" w:rsidP="007A097F">
      <w:pPr>
        <w:pStyle w:val="Akapitzlist"/>
        <w:numPr>
          <w:ilvl w:val="0"/>
          <w:numId w:val="32"/>
        </w:numPr>
        <w:spacing w:after="0" w:line="240" w:lineRule="auto"/>
        <w:ind w:left="1077"/>
        <w:jc w:val="both"/>
        <w:rPr>
          <w:rFonts w:ascii="Arial" w:hAnsi="Arial" w:cs="Arial"/>
        </w:rPr>
      </w:pPr>
      <w:r w:rsidRPr="00671FD0">
        <w:rPr>
          <w:rFonts w:ascii="Arial" w:hAnsi="Arial" w:cs="Arial"/>
        </w:rPr>
        <w:t>W</w:t>
      </w:r>
      <w:r w:rsidR="00C44793">
        <w:rPr>
          <w:rFonts w:ascii="Arial" w:hAnsi="Arial" w:cs="Arial"/>
        </w:rPr>
        <w:t xml:space="preserve">ykonanie </w:t>
      </w:r>
      <w:r w:rsidR="007A097F">
        <w:rPr>
          <w:rFonts w:ascii="Arial" w:hAnsi="Arial" w:cs="Arial"/>
        </w:rPr>
        <w:t xml:space="preserve">poszerzenia jezdni </w:t>
      </w:r>
      <w:r w:rsidR="00C44793">
        <w:rPr>
          <w:rFonts w:ascii="Arial" w:hAnsi="Arial" w:cs="Arial"/>
        </w:rPr>
        <w:t xml:space="preserve"> </w:t>
      </w:r>
      <w:r w:rsidRPr="00671FD0">
        <w:rPr>
          <w:rFonts w:ascii="Arial" w:hAnsi="Arial" w:cs="Arial"/>
        </w:rPr>
        <w:t xml:space="preserve"> </w:t>
      </w:r>
    </w:p>
    <w:p w14:paraId="41FF0D12" w14:textId="59453A62" w:rsidR="00C44793" w:rsidRDefault="007A097F" w:rsidP="00C44793">
      <w:pPr>
        <w:pStyle w:val="Akapitzlist"/>
        <w:numPr>
          <w:ilvl w:val="0"/>
          <w:numId w:val="32"/>
        </w:numPr>
        <w:spacing w:after="0" w:line="240" w:lineRule="auto"/>
        <w:ind w:left="1077"/>
        <w:jc w:val="both"/>
        <w:rPr>
          <w:rFonts w:ascii="Arial" w:hAnsi="Arial" w:cs="Arial"/>
        </w:rPr>
      </w:pPr>
      <w:r>
        <w:rPr>
          <w:rFonts w:ascii="Arial" w:hAnsi="Arial" w:cs="Arial"/>
        </w:rPr>
        <w:t>Wzmocnienie n</w:t>
      </w:r>
      <w:r w:rsidR="00C44793">
        <w:rPr>
          <w:rFonts w:ascii="Arial" w:hAnsi="Arial" w:cs="Arial"/>
        </w:rPr>
        <w:t xml:space="preserve">awierzchni z mieszanek </w:t>
      </w:r>
      <w:proofErr w:type="spellStart"/>
      <w:r w:rsidR="00C44793">
        <w:rPr>
          <w:rFonts w:ascii="Arial" w:hAnsi="Arial" w:cs="Arial"/>
        </w:rPr>
        <w:t>mineralno</w:t>
      </w:r>
      <w:proofErr w:type="spellEnd"/>
      <w:r w:rsidR="00C44793">
        <w:rPr>
          <w:rFonts w:ascii="Arial" w:hAnsi="Arial" w:cs="Arial"/>
        </w:rPr>
        <w:t xml:space="preserve"> </w:t>
      </w:r>
      <w:r w:rsidR="007677C2">
        <w:rPr>
          <w:rFonts w:ascii="Arial" w:hAnsi="Arial" w:cs="Arial"/>
        </w:rPr>
        <w:t>–</w:t>
      </w:r>
      <w:r w:rsidR="00C44793">
        <w:rPr>
          <w:rFonts w:ascii="Arial" w:hAnsi="Arial" w:cs="Arial"/>
        </w:rPr>
        <w:t xml:space="preserve"> bitumicznych</w:t>
      </w:r>
      <w:r w:rsidR="007677C2">
        <w:rPr>
          <w:rFonts w:ascii="Arial" w:hAnsi="Arial" w:cs="Arial"/>
        </w:rPr>
        <w:t xml:space="preserve"> (warstwa wiążąca i ścieralna) </w:t>
      </w:r>
    </w:p>
    <w:p w14:paraId="4CB6C7B6" w14:textId="539A4572" w:rsidR="00560691" w:rsidRPr="00F03C98" w:rsidRDefault="00F03C98" w:rsidP="00F03C98">
      <w:pPr>
        <w:pStyle w:val="Akapitzlist"/>
        <w:numPr>
          <w:ilvl w:val="0"/>
          <w:numId w:val="31"/>
        </w:numPr>
        <w:spacing w:after="0" w:line="240" w:lineRule="auto"/>
        <w:jc w:val="both"/>
        <w:rPr>
          <w:rFonts w:ascii="Arial" w:hAnsi="Arial" w:cs="Arial"/>
        </w:rPr>
      </w:pPr>
      <w:r>
        <w:rPr>
          <w:rFonts w:ascii="Arial" w:hAnsi="Arial" w:cs="Arial"/>
        </w:rPr>
        <w:t>Chodniki, perony, z</w:t>
      </w:r>
      <w:r w:rsidR="00560691" w:rsidRPr="00C44793">
        <w:rPr>
          <w:rFonts w:ascii="Arial" w:hAnsi="Arial" w:cs="Arial"/>
        </w:rPr>
        <w:t>jazdy z asfaltobetonu</w:t>
      </w:r>
      <w:r>
        <w:rPr>
          <w:rFonts w:ascii="Arial" w:hAnsi="Arial" w:cs="Arial"/>
        </w:rPr>
        <w:t xml:space="preserve">, zatoki z kostki betonowej </w:t>
      </w:r>
    </w:p>
    <w:p w14:paraId="1B1879CB"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67F225D5"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w:t>
      </w:r>
    </w:p>
    <w:p w14:paraId="26AA501A" w14:textId="77777777" w:rsidR="00F03C98"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Wykonanie oznakowania poziomego</w:t>
      </w:r>
    </w:p>
    <w:p w14:paraId="03384E98" w14:textId="4CC8CA44" w:rsidR="00560691" w:rsidRDefault="00F03C98" w:rsidP="00671FD0">
      <w:pPr>
        <w:pStyle w:val="Akapitzlist"/>
        <w:numPr>
          <w:ilvl w:val="0"/>
          <w:numId w:val="35"/>
        </w:numPr>
        <w:spacing w:after="0" w:line="240" w:lineRule="auto"/>
        <w:ind w:left="1077"/>
        <w:jc w:val="both"/>
        <w:rPr>
          <w:rFonts w:ascii="Arial" w:hAnsi="Arial" w:cs="Arial"/>
        </w:rPr>
      </w:pPr>
      <w:r>
        <w:rPr>
          <w:rFonts w:ascii="Arial" w:hAnsi="Arial" w:cs="Arial"/>
        </w:rPr>
        <w:t xml:space="preserve">Bariery energochłonne stalowe </w:t>
      </w:r>
      <w:r w:rsidR="00560691" w:rsidRPr="00671FD0">
        <w:rPr>
          <w:rFonts w:ascii="Arial" w:hAnsi="Arial" w:cs="Arial"/>
        </w:rPr>
        <w:t xml:space="preserve"> </w:t>
      </w:r>
    </w:p>
    <w:p w14:paraId="4E046D71" w14:textId="33DE0724" w:rsidR="00F03C98" w:rsidRDefault="00F03C98" w:rsidP="00671FD0">
      <w:pPr>
        <w:pStyle w:val="Akapitzlist"/>
        <w:numPr>
          <w:ilvl w:val="0"/>
          <w:numId w:val="35"/>
        </w:numPr>
        <w:spacing w:after="0" w:line="240" w:lineRule="auto"/>
        <w:ind w:left="1077"/>
        <w:jc w:val="both"/>
        <w:rPr>
          <w:rFonts w:ascii="Arial" w:hAnsi="Arial" w:cs="Arial"/>
        </w:rPr>
      </w:pPr>
      <w:r>
        <w:rPr>
          <w:rFonts w:ascii="Arial" w:hAnsi="Arial" w:cs="Arial"/>
        </w:rPr>
        <w:t xml:space="preserve">Wyspa dzieląca </w:t>
      </w:r>
    </w:p>
    <w:p w14:paraId="67C4C9EA" w14:textId="58C4846C" w:rsidR="00F03C98" w:rsidRPr="00671FD0" w:rsidRDefault="00F03C98" w:rsidP="00671FD0">
      <w:pPr>
        <w:pStyle w:val="Akapitzlist"/>
        <w:numPr>
          <w:ilvl w:val="0"/>
          <w:numId w:val="35"/>
        </w:numPr>
        <w:spacing w:after="0" w:line="240" w:lineRule="auto"/>
        <w:ind w:left="1077"/>
        <w:jc w:val="both"/>
        <w:rPr>
          <w:rFonts w:ascii="Arial" w:hAnsi="Arial" w:cs="Arial"/>
        </w:rPr>
      </w:pPr>
      <w:r>
        <w:rPr>
          <w:rFonts w:ascii="Arial" w:hAnsi="Arial" w:cs="Arial"/>
        </w:rPr>
        <w:t xml:space="preserve">Oznakowanie ścieżki rowerowej </w:t>
      </w:r>
    </w:p>
    <w:p w14:paraId="222BC289" w14:textId="4DD2CD6A" w:rsidR="00477A1A" w:rsidRPr="00671FD0" w:rsidRDefault="004356BA" w:rsidP="00671FD0">
      <w:pPr>
        <w:pStyle w:val="Akapitzlist"/>
        <w:numPr>
          <w:ilvl w:val="0"/>
          <w:numId w:val="35"/>
        </w:numPr>
        <w:spacing w:after="0" w:line="240" w:lineRule="auto"/>
        <w:ind w:left="1077"/>
        <w:jc w:val="both"/>
        <w:rPr>
          <w:rFonts w:ascii="Arial" w:hAnsi="Arial" w:cs="Arial"/>
        </w:rPr>
      </w:pPr>
      <w:r>
        <w:rPr>
          <w:rFonts w:ascii="Arial" w:hAnsi="Arial" w:cs="Arial"/>
        </w:rPr>
        <w:t>Sadzenie drzew w pasie drogowym</w:t>
      </w:r>
    </w:p>
    <w:p w14:paraId="4820BC4D" w14:textId="16717D33" w:rsidR="00D94629" w:rsidRPr="00403DBE" w:rsidRDefault="00D94629" w:rsidP="00403DBE">
      <w:pPr>
        <w:pStyle w:val="Akapitzlist"/>
        <w:numPr>
          <w:ilvl w:val="0"/>
          <w:numId w:val="35"/>
        </w:numPr>
        <w:spacing w:after="0" w:line="240" w:lineRule="auto"/>
        <w:ind w:left="1077"/>
        <w:jc w:val="both"/>
        <w:rPr>
          <w:rFonts w:ascii="Arial" w:hAnsi="Arial" w:cs="Arial"/>
        </w:rPr>
      </w:pPr>
      <w:r w:rsidRPr="00671FD0">
        <w:rPr>
          <w:rFonts w:ascii="Arial" w:hAnsi="Arial" w:cs="Arial"/>
        </w:rPr>
        <w:t>Zakup i montaż dwóch tablic informacyjnych (parametry zgodnie z wytycznymi</w:t>
      </w:r>
      <w:r w:rsidR="007677C2">
        <w:rPr>
          <w:rFonts w:ascii="Arial" w:hAnsi="Arial" w:cs="Arial"/>
        </w:rPr>
        <w:t xml:space="preserve"> Rozporządzenia Rady Ministrów z dnia 7 maja 2021r. w sprawie określenia działań informacyjnych </w:t>
      </w:r>
      <w:r w:rsidR="00403DBE">
        <w:rPr>
          <w:rFonts w:ascii="Arial" w:hAnsi="Arial" w:cs="Arial"/>
        </w:rPr>
        <w:t>podejmowanych przez podmioty realizujące zadania finansowane lub dofinansowane z budżetu państwa lub z państwowych funduszy celowych</w:t>
      </w:r>
      <w:r w:rsidRPr="00671FD0">
        <w:rPr>
          <w:rFonts w:ascii="Arial" w:hAnsi="Arial" w:cs="Arial"/>
        </w:rPr>
        <w:t xml:space="preserve">) </w:t>
      </w:r>
    </w:p>
    <w:p w14:paraId="2AE4A10D" w14:textId="77777777" w:rsidR="00477A1A" w:rsidRPr="00671FD0" w:rsidRDefault="00477A1A"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Obsługę geodezyjną</w:t>
      </w:r>
    </w:p>
    <w:p w14:paraId="392FAABA" w14:textId="77777777" w:rsidR="00636E2A" w:rsidRPr="00671FD0" w:rsidRDefault="00477A1A"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74B572B7" w14:textId="0719D176" w:rsidR="006A0634" w:rsidRPr="00671FD0" w:rsidRDefault="006A0634" w:rsidP="00671FD0">
      <w:pPr>
        <w:numPr>
          <w:ilvl w:val="1"/>
          <w:numId w:val="5"/>
        </w:numPr>
        <w:spacing w:after="0" w:line="240" w:lineRule="auto"/>
        <w:jc w:val="both"/>
        <w:rPr>
          <w:rFonts w:ascii="Arial" w:hAnsi="Arial" w:cs="Arial"/>
        </w:rPr>
      </w:pPr>
      <w:bookmarkStart w:id="4" w:name="_Hlk65755629"/>
      <w:r w:rsidRPr="00671FD0">
        <w:rPr>
          <w:rFonts w:ascii="Arial" w:hAnsi="Arial" w:cs="Arial"/>
        </w:rPr>
        <w:t>Przedmiot zamówienia został szczegółowo opisa</w:t>
      </w:r>
      <w:r w:rsidR="00F25E52" w:rsidRPr="00671FD0">
        <w:rPr>
          <w:rFonts w:ascii="Arial" w:hAnsi="Arial" w:cs="Arial"/>
        </w:rPr>
        <w:t>ny w dokumentacji projektowej (Z</w:t>
      </w:r>
      <w:r w:rsidRPr="00671FD0">
        <w:rPr>
          <w:rFonts w:ascii="Arial" w:hAnsi="Arial" w:cs="Arial"/>
        </w:rPr>
        <w:t>ałącznik nr</w:t>
      </w:r>
      <w:r w:rsidR="00250EC8">
        <w:rPr>
          <w:rFonts w:ascii="Arial" w:hAnsi="Arial" w:cs="Arial"/>
        </w:rPr>
        <w:t xml:space="preserve"> </w:t>
      </w:r>
      <w:r w:rsidR="00403DBE">
        <w:rPr>
          <w:rFonts w:ascii="Arial" w:hAnsi="Arial" w:cs="Arial"/>
        </w:rPr>
        <w:t>9</w:t>
      </w:r>
      <w:r w:rsidR="00D94629" w:rsidRPr="00671FD0">
        <w:rPr>
          <w:rFonts w:ascii="Arial" w:hAnsi="Arial" w:cs="Arial"/>
        </w:rPr>
        <w:t xml:space="preserve"> w formacie plików ZIP</w:t>
      </w:r>
      <w:r w:rsidRPr="00671FD0">
        <w:rPr>
          <w:rFonts w:ascii="Arial" w:hAnsi="Arial" w:cs="Arial"/>
        </w:rPr>
        <w:t>), specyfikacjach techniczn</w:t>
      </w:r>
      <w:r w:rsidR="00F25E52" w:rsidRPr="00671FD0">
        <w:rPr>
          <w:rFonts w:ascii="Arial" w:hAnsi="Arial" w:cs="Arial"/>
        </w:rPr>
        <w:t>ych wykonania i odbioru robót (Z</w:t>
      </w:r>
      <w:r w:rsidRPr="00671FD0">
        <w:rPr>
          <w:rFonts w:ascii="Arial" w:hAnsi="Arial" w:cs="Arial"/>
        </w:rPr>
        <w:t xml:space="preserve">ałącznik nr </w:t>
      </w:r>
      <w:r w:rsidR="00403DBE">
        <w:rPr>
          <w:rFonts w:ascii="Arial" w:hAnsi="Arial" w:cs="Arial"/>
        </w:rPr>
        <w:t>10</w:t>
      </w:r>
      <w:r w:rsidR="0044251B">
        <w:rPr>
          <w:rFonts w:ascii="Arial" w:hAnsi="Arial" w:cs="Arial"/>
        </w:rPr>
        <w:t>a i 10b</w:t>
      </w:r>
      <w:r w:rsidR="00D94629" w:rsidRPr="00671FD0">
        <w:rPr>
          <w:rFonts w:ascii="Arial" w:hAnsi="Arial" w:cs="Arial"/>
        </w:rPr>
        <w:t xml:space="preserve"> w formacie PDF</w:t>
      </w:r>
      <w:r w:rsidRPr="00671FD0">
        <w:rPr>
          <w:rFonts w:ascii="Arial" w:hAnsi="Arial" w:cs="Arial"/>
        </w:rPr>
        <w:t>) oraz przedmiar</w:t>
      </w:r>
      <w:r w:rsidR="0044251B">
        <w:rPr>
          <w:rFonts w:ascii="Arial" w:hAnsi="Arial" w:cs="Arial"/>
        </w:rPr>
        <w:t>ach</w:t>
      </w:r>
      <w:r w:rsidR="00F25E52" w:rsidRPr="00671FD0">
        <w:rPr>
          <w:rFonts w:ascii="Arial" w:hAnsi="Arial" w:cs="Arial"/>
        </w:rPr>
        <w:t xml:space="preserve"> robót (Z</w:t>
      </w:r>
      <w:r w:rsidRPr="00671FD0">
        <w:rPr>
          <w:rFonts w:ascii="Arial" w:hAnsi="Arial" w:cs="Arial"/>
        </w:rPr>
        <w:t xml:space="preserve">ałącznik nr </w:t>
      </w:r>
      <w:r w:rsidR="00250EC8">
        <w:rPr>
          <w:rFonts w:ascii="Arial" w:hAnsi="Arial" w:cs="Arial"/>
        </w:rPr>
        <w:t>1</w:t>
      </w:r>
      <w:r w:rsidR="00403DBE">
        <w:rPr>
          <w:rFonts w:ascii="Arial" w:hAnsi="Arial" w:cs="Arial"/>
        </w:rPr>
        <w:t>1</w:t>
      </w:r>
      <w:r w:rsidR="0044251B">
        <w:rPr>
          <w:rFonts w:ascii="Arial" w:hAnsi="Arial" w:cs="Arial"/>
        </w:rPr>
        <w:t>a, 11b i 11c</w:t>
      </w:r>
      <w:r w:rsidR="00D94629" w:rsidRPr="00671FD0">
        <w:rPr>
          <w:rFonts w:ascii="Arial" w:hAnsi="Arial" w:cs="Arial"/>
        </w:rPr>
        <w:t xml:space="preserve"> w formacie PDF</w:t>
      </w:r>
      <w:r w:rsidRPr="00671FD0">
        <w:rPr>
          <w:rFonts w:ascii="Arial" w:hAnsi="Arial" w:cs="Arial"/>
        </w:rPr>
        <w:t>).</w:t>
      </w:r>
    </w:p>
    <w:p w14:paraId="6FFECBD1" w14:textId="6AE07FE0" w:rsidR="006A0634" w:rsidRPr="00C76DA2"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w:t>
      </w:r>
      <w:r w:rsidR="004356BA">
        <w:rPr>
          <w:rFonts w:ascii="Arial" w:hAnsi="Arial" w:cs="Arial"/>
          <w:bCs/>
        </w:rPr>
        <w:t>1</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4EB41292" w:rsidR="006A0634" w:rsidRPr="00C76DA2" w:rsidRDefault="006A0634" w:rsidP="00671FD0">
      <w:pPr>
        <w:numPr>
          <w:ilvl w:val="1"/>
          <w:numId w:val="5"/>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w:t>
      </w:r>
      <w:r w:rsidR="004356BA">
        <w:rPr>
          <w:rFonts w:ascii="Arial" w:hAnsi="Arial" w:cs="Arial"/>
        </w:rPr>
        <w:t>1</w:t>
      </w:r>
      <w:r w:rsidRPr="00C76DA2">
        <w:rPr>
          <w:rFonts w:ascii="Arial" w:hAnsi="Arial" w:cs="Arial"/>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rsidP="00671FD0">
      <w:pPr>
        <w:numPr>
          <w:ilvl w:val="1"/>
          <w:numId w:val="5"/>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w:t>
      </w:r>
      <w:proofErr w:type="spellStart"/>
      <w:r w:rsidR="006A0634" w:rsidRPr="00671FD0">
        <w:rPr>
          <w:rFonts w:ascii="Arial" w:hAnsi="Arial" w:cs="Arial"/>
        </w:rPr>
        <w:t>mineralno</w:t>
      </w:r>
      <w:proofErr w:type="spellEnd"/>
      <w:r w:rsidR="006A0634" w:rsidRPr="00671FD0">
        <w:rPr>
          <w:rFonts w:ascii="Arial" w:hAnsi="Arial" w:cs="Arial"/>
        </w:rPr>
        <w:t xml:space="preserve">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4"/>
    <w:p w14:paraId="1A855287" w14:textId="0FA64BFA" w:rsidR="006A0634" w:rsidRDefault="006A0634" w:rsidP="00671FD0">
      <w:pPr>
        <w:numPr>
          <w:ilvl w:val="1"/>
          <w:numId w:val="5"/>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79BD5F8E" w14:textId="408014E0" w:rsidR="005A0D5E" w:rsidRPr="00671FD0" w:rsidRDefault="005A0D5E" w:rsidP="00671FD0">
      <w:pPr>
        <w:numPr>
          <w:ilvl w:val="1"/>
          <w:numId w:val="5"/>
        </w:numPr>
        <w:spacing w:after="0" w:line="240" w:lineRule="auto"/>
        <w:jc w:val="both"/>
        <w:rPr>
          <w:rFonts w:ascii="Arial" w:hAnsi="Arial" w:cs="Arial"/>
        </w:rPr>
      </w:pPr>
      <w:r>
        <w:rPr>
          <w:rFonts w:ascii="Arial" w:hAnsi="Arial" w:cs="Arial"/>
        </w:rPr>
        <w:lastRenderedPageBreak/>
        <w:t xml:space="preserve">Przedmiot zamówienia dofinansowany jest ze środków z budżetu państwa w ramach Rządowego Funduszu Rozwoju Dróg. </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77777777" w:rsidR="007F21A4" w:rsidRPr="005A0D5E"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5A0D5E">
        <w:rPr>
          <w:rFonts w:ascii="Arial" w:hAnsi="Arial" w:cs="Arial"/>
          <w:b/>
        </w:rPr>
        <w:t>Termin wykonania zamówienia</w:t>
      </w:r>
    </w:p>
    <w:p w14:paraId="0D14B7B6" w14:textId="7B539264" w:rsidR="006A0634" w:rsidRPr="005A0D5E" w:rsidRDefault="006A0634" w:rsidP="00671FD0">
      <w:pPr>
        <w:numPr>
          <w:ilvl w:val="1"/>
          <w:numId w:val="6"/>
        </w:numPr>
        <w:spacing w:after="0" w:line="240" w:lineRule="auto"/>
        <w:jc w:val="both"/>
        <w:rPr>
          <w:rFonts w:ascii="Arial" w:hAnsi="Arial" w:cs="Arial"/>
        </w:rPr>
      </w:pPr>
      <w:r w:rsidRPr="005A0D5E">
        <w:rPr>
          <w:rFonts w:ascii="Arial" w:hAnsi="Arial" w:cs="Arial"/>
        </w:rPr>
        <w:t xml:space="preserve">Rozpoczęcie realizacji zdania – w ciągu </w:t>
      </w:r>
      <w:r w:rsidR="00BA6D36" w:rsidRPr="005A0D5E">
        <w:rPr>
          <w:rFonts w:ascii="Arial" w:hAnsi="Arial" w:cs="Arial"/>
        </w:rPr>
        <w:t>7</w:t>
      </w:r>
      <w:r w:rsidRPr="005A0D5E">
        <w:rPr>
          <w:rFonts w:ascii="Arial" w:hAnsi="Arial" w:cs="Arial"/>
        </w:rPr>
        <w:t xml:space="preserve"> dni od daty przekazania placu budowy, przy czym prz</w:t>
      </w:r>
      <w:r w:rsidR="00AB3EDC" w:rsidRPr="005A0D5E">
        <w:rPr>
          <w:rFonts w:ascii="Arial" w:hAnsi="Arial" w:cs="Arial"/>
        </w:rPr>
        <w:t xml:space="preserve">ekazanie placu budowy nastąpi </w:t>
      </w:r>
      <w:r w:rsidR="000D670F" w:rsidRPr="005A0D5E">
        <w:rPr>
          <w:rFonts w:ascii="Arial" w:hAnsi="Arial" w:cs="Arial"/>
        </w:rPr>
        <w:t>do 30</w:t>
      </w:r>
      <w:r w:rsidR="00035881" w:rsidRPr="005A0D5E">
        <w:rPr>
          <w:rFonts w:ascii="Arial" w:hAnsi="Arial" w:cs="Arial"/>
        </w:rPr>
        <w:t xml:space="preserve"> dni</w:t>
      </w:r>
      <w:r w:rsidR="005A0D5E" w:rsidRPr="005A0D5E">
        <w:rPr>
          <w:rFonts w:ascii="Arial" w:hAnsi="Arial" w:cs="Arial"/>
        </w:rPr>
        <w:t>,</w:t>
      </w:r>
      <w:r w:rsidR="00035881" w:rsidRPr="005A0D5E">
        <w:rPr>
          <w:rFonts w:ascii="Arial" w:hAnsi="Arial" w:cs="Arial"/>
        </w:rPr>
        <w:t xml:space="preserve"> od daty zawarcia umowy</w:t>
      </w:r>
      <w:r w:rsidRPr="005A0D5E">
        <w:rPr>
          <w:rFonts w:ascii="Arial" w:hAnsi="Arial" w:cs="Arial"/>
        </w:rPr>
        <w:t>.</w:t>
      </w:r>
    </w:p>
    <w:p w14:paraId="69951870" w14:textId="61965931" w:rsidR="00655B3D" w:rsidRPr="00671FD0" w:rsidRDefault="005A0D5E" w:rsidP="00671FD0">
      <w:pPr>
        <w:numPr>
          <w:ilvl w:val="1"/>
          <w:numId w:val="6"/>
        </w:numPr>
        <w:spacing w:after="0" w:line="240" w:lineRule="auto"/>
        <w:ind w:right="-142"/>
        <w:jc w:val="both"/>
        <w:rPr>
          <w:rFonts w:ascii="Arial" w:hAnsi="Arial" w:cs="Arial"/>
        </w:rPr>
      </w:pPr>
      <w:r>
        <w:rPr>
          <w:rFonts w:ascii="Arial" w:hAnsi="Arial" w:cs="Arial"/>
        </w:rPr>
        <w:t>Planowany</w:t>
      </w:r>
      <w:r w:rsidR="00655B3D" w:rsidRPr="005A0D5E">
        <w:rPr>
          <w:rFonts w:ascii="Arial" w:hAnsi="Arial" w:cs="Arial"/>
        </w:rPr>
        <w:t xml:space="preserve"> termin </w:t>
      </w:r>
      <w:r>
        <w:rPr>
          <w:rFonts w:ascii="Arial" w:hAnsi="Arial" w:cs="Arial"/>
        </w:rPr>
        <w:t xml:space="preserve">zakończenia </w:t>
      </w:r>
      <w:r w:rsidR="00655B3D" w:rsidRPr="005A0D5E">
        <w:rPr>
          <w:rFonts w:ascii="Arial" w:hAnsi="Arial" w:cs="Arial"/>
        </w:rPr>
        <w:t xml:space="preserve">realizacji przedmiotu </w:t>
      </w:r>
      <w:r w:rsidR="00655B3D" w:rsidRPr="00671FD0">
        <w:rPr>
          <w:rFonts w:ascii="Arial" w:hAnsi="Arial" w:cs="Arial"/>
        </w:rPr>
        <w:t>zamówienia</w:t>
      </w:r>
      <w:r w:rsidR="005A55F3">
        <w:rPr>
          <w:rFonts w:ascii="Arial" w:hAnsi="Arial" w:cs="Arial"/>
        </w:rPr>
        <w:t>:</w:t>
      </w:r>
      <w:r w:rsidR="00655B3D" w:rsidRPr="00671FD0">
        <w:rPr>
          <w:rFonts w:ascii="Arial" w:hAnsi="Arial" w:cs="Arial"/>
        </w:rPr>
        <w:t xml:space="preserve"> </w:t>
      </w:r>
      <w:r w:rsidR="005A55F3">
        <w:rPr>
          <w:rFonts w:ascii="Arial" w:hAnsi="Arial" w:cs="Arial"/>
        </w:rPr>
        <w:t xml:space="preserve">do </w:t>
      </w:r>
      <w:r>
        <w:rPr>
          <w:rFonts w:ascii="Arial" w:hAnsi="Arial" w:cs="Arial"/>
        </w:rPr>
        <w:t>3</w:t>
      </w:r>
      <w:r w:rsidR="001115C7">
        <w:rPr>
          <w:rFonts w:ascii="Arial" w:hAnsi="Arial" w:cs="Arial"/>
        </w:rPr>
        <w:t>30</w:t>
      </w:r>
      <w:r>
        <w:rPr>
          <w:rFonts w:ascii="Arial" w:hAnsi="Arial" w:cs="Arial"/>
        </w:rPr>
        <w:t xml:space="preserve"> dni </w:t>
      </w:r>
      <w:r w:rsidR="00177C1E">
        <w:rPr>
          <w:rFonts w:ascii="Arial" w:hAnsi="Arial" w:cs="Arial"/>
        </w:rPr>
        <w:t xml:space="preserve">od </w:t>
      </w:r>
      <w:r w:rsidR="00655B3D" w:rsidRPr="00671FD0">
        <w:rPr>
          <w:rFonts w:ascii="Arial" w:hAnsi="Arial" w:cs="Arial"/>
        </w:rPr>
        <w:t>dnia podpisania umowy z wykonawcą</w:t>
      </w:r>
      <w:r w:rsidR="00467CB3">
        <w:rPr>
          <w:rFonts w:ascii="Arial" w:hAnsi="Arial" w:cs="Arial"/>
        </w:rPr>
        <w:t>, zgłaszając pisemnie gotowość do odbioru</w:t>
      </w:r>
      <w:r w:rsidR="00655B3D" w:rsidRPr="00671FD0">
        <w:rPr>
          <w:rFonts w:ascii="Arial" w:hAnsi="Arial" w:cs="Arial"/>
        </w:rPr>
        <w:t xml:space="preserve">. </w:t>
      </w:r>
    </w:p>
    <w:p w14:paraId="17D77D85" w14:textId="212578AB" w:rsidR="005E3403" w:rsidRPr="00671FD0" w:rsidRDefault="006A0634" w:rsidP="00671FD0">
      <w:pPr>
        <w:numPr>
          <w:ilvl w:val="1"/>
          <w:numId w:val="6"/>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w:t>
      </w:r>
      <w:r w:rsidR="001115C7">
        <w:rPr>
          <w:rFonts w:ascii="Arial" w:hAnsi="Arial" w:cs="Arial"/>
        </w:rPr>
        <w:t>2</w:t>
      </w:r>
      <w:r w:rsidR="00655B3D" w:rsidRPr="00671FD0">
        <w:rPr>
          <w:rFonts w:ascii="Arial" w:hAnsi="Arial" w:cs="Arial"/>
        </w:rPr>
        <w:t xml:space="preserve">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63CC1711"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w:t>
      </w:r>
      <w:r w:rsidR="001115C7">
        <w:rPr>
          <w:rFonts w:ascii="Arial" w:hAnsi="Arial" w:cs="Arial"/>
        </w:rPr>
        <w:t>3</w:t>
      </w:r>
      <w:r w:rsidR="00655B3D" w:rsidRPr="00671FD0">
        <w:rPr>
          <w:rFonts w:ascii="Arial" w:hAnsi="Arial" w:cs="Arial"/>
        </w:rPr>
        <w:t xml:space="preserve"> S</w:t>
      </w:r>
      <w:r w:rsidRPr="00671FD0">
        <w:rPr>
          <w:rFonts w:ascii="Arial" w:hAnsi="Arial" w:cs="Arial"/>
        </w:rPr>
        <w:t>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317ED7F2" w14:textId="77777777" w:rsidR="00D325A7" w:rsidRDefault="0005383F" w:rsidP="00D325A7">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w:t>
      </w:r>
    </w:p>
    <w:p w14:paraId="636DFEAE" w14:textId="44DB70B0" w:rsidR="0005383F" w:rsidRPr="00671FD0" w:rsidRDefault="007D36A9"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odbywa się przy użyciu </w:t>
      </w:r>
      <w:proofErr w:type="spellStart"/>
      <w:r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9"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0"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D325A7">
        <w:rPr>
          <w:rFonts w:ascii="Arial" w:hAnsi="Arial" w:cs="Arial"/>
        </w:rPr>
        <w:t>(</w:t>
      </w:r>
      <w:r w:rsidR="00D325A7" w:rsidRPr="00D325A7">
        <w:rPr>
          <w:rFonts w:ascii="Arial" w:hAnsi="Arial" w:cs="Arial"/>
          <w:i/>
          <w:iCs/>
        </w:rPr>
        <w:t>adres URL skrytki Starostwa Powiatowego w Nowym Mieście Lubawskim to /</w:t>
      </w:r>
      <w:proofErr w:type="spellStart"/>
      <w:r w:rsidR="00D325A7" w:rsidRPr="00D325A7">
        <w:rPr>
          <w:rFonts w:ascii="Arial" w:hAnsi="Arial" w:cs="Arial"/>
          <w:i/>
          <w:iCs/>
        </w:rPr>
        <w:t>spnml</w:t>
      </w:r>
      <w:proofErr w:type="spellEnd"/>
      <w:r w:rsidR="00D325A7" w:rsidRPr="00D325A7">
        <w:rPr>
          <w:rFonts w:ascii="Arial" w:hAnsi="Arial" w:cs="Arial"/>
          <w:i/>
          <w:iCs/>
        </w:rPr>
        <w:t>/ESP</w:t>
      </w:r>
      <w:r w:rsidR="00D325A7">
        <w:rPr>
          <w:rFonts w:ascii="Arial" w:hAnsi="Arial" w:cs="Arial"/>
        </w:rPr>
        <w:t xml:space="preserve">) </w:t>
      </w:r>
      <w:r w:rsidR="001C0D57" w:rsidRPr="00671FD0">
        <w:rPr>
          <w:rFonts w:ascii="Arial" w:hAnsi="Arial" w:cs="Arial"/>
        </w:rPr>
        <w:t>oraz poczty elektronicznej</w:t>
      </w:r>
      <w:r w:rsidRPr="00671FD0">
        <w:rPr>
          <w:rFonts w:ascii="Arial" w:hAnsi="Arial" w:cs="Arial"/>
        </w:rPr>
        <w:t xml:space="preserve"> pod adresem</w:t>
      </w:r>
      <w:r w:rsidR="001C0D57" w:rsidRPr="00671FD0">
        <w:rPr>
          <w:rFonts w:ascii="Arial" w:hAnsi="Arial" w:cs="Arial"/>
        </w:rPr>
        <w:t xml:space="preserve">: </w:t>
      </w:r>
      <w:hyperlink r:id="rId11" w:history="1">
        <w:r w:rsidR="00762626" w:rsidRPr="00762626">
          <w:rPr>
            <w:rStyle w:val="Hipercze"/>
            <w:rFonts w:ascii="Arial" w:hAnsi="Arial" w:cs="Arial"/>
            <w:color w:val="auto"/>
          </w:rPr>
          <w:t>sekretariat@powiat-nowomiejski.pl</w:t>
        </w:r>
      </w:hyperlink>
    </w:p>
    <w:p w14:paraId="2E149325" w14:textId="77777777" w:rsidR="00D325A7"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 xml:space="preserve">pracownicy Zarządu </w:t>
      </w:r>
    </w:p>
    <w:p w14:paraId="0DD03A52" w14:textId="6A2F27BE" w:rsidR="00433F14" w:rsidRPr="00671FD0" w:rsidRDefault="001D7A29" w:rsidP="00D325A7">
      <w:pPr>
        <w:spacing w:after="0" w:line="240" w:lineRule="auto"/>
        <w:ind w:left="283"/>
        <w:rPr>
          <w:rFonts w:ascii="Arial" w:hAnsi="Arial" w:cs="Arial"/>
        </w:rPr>
      </w:pPr>
      <w:r w:rsidRPr="00671FD0">
        <w:rPr>
          <w:rFonts w:ascii="Arial" w:hAnsi="Arial" w:cs="Arial"/>
        </w:rPr>
        <w:t>Dróg Powiatowych w Nowym Mieście Lubawskim z siedzibą w Kurzętniku, ul. Sienkiewicza 48, 13 – 306 Kurzętnik: Marcin Kraszkiewicz</w:t>
      </w:r>
      <w:r w:rsidR="00762626">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00762626">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2" w:history="1">
        <w:r w:rsidRPr="00671FD0">
          <w:rPr>
            <w:rStyle w:val="Hipercze"/>
            <w:rFonts w:ascii="Arial" w:hAnsi="Arial" w:cs="Arial"/>
            <w:color w:val="auto"/>
          </w:rPr>
          <w:t>zdpnml@gmail.com</w:t>
        </w:r>
      </w:hyperlink>
      <w:r w:rsidRPr="00671FD0">
        <w:rPr>
          <w:rFonts w:ascii="Arial" w:hAnsi="Arial" w:cs="Arial"/>
        </w:rPr>
        <w:t xml:space="preserve">  </w:t>
      </w:r>
    </w:p>
    <w:p w14:paraId="1DDCD0A2" w14:textId="77777777" w:rsidR="00B83A41" w:rsidRDefault="001C0D57" w:rsidP="00B83A41">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w:t>
      </w:r>
    </w:p>
    <w:p w14:paraId="085A1EDB" w14:textId="76EDDA4E"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1EBB715C" w14:textId="77777777" w:rsidR="00B83A41" w:rsidRDefault="00183F93" w:rsidP="00B83A41">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w:t>
      </w:r>
    </w:p>
    <w:p w14:paraId="045E5A7B" w14:textId="3B3C98B7"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B83A41">
        <w:rPr>
          <w:rFonts w:ascii="Arial" w:hAnsi="Arial" w:cs="Arial"/>
        </w:rPr>
        <w:t>warunkach korzystania z elektronicznej platformy usług administracji publicznej (</w:t>
      </w:r>
      <w:proofErr w:type="spellStart"/>
      <w:r w:rsidRPr="00671FD0">
        <w:rPr>
          <w:rFonts w:ascii="Arial" w:hAnsi="Arial" w:cs="Arial"/>
        </w:rPr>
        <w:t>ePUAP</w:t>
      </w:r>
      <w:proofErr w:type="spellEnd"/>
      <w:r w:rsidR="00B83A41">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0ACCABF1" w:rsidR="007D36A9" w:rsidRPr="00671FD0" w:rsidRDefault="007D36A9" w:rsidP="00671FD0">
      <w:pPr>
        <w:pStyle w:val="Akapitzlist"/>
        <w:numPr>
          <w:ilvl w:val="1"/>
          <w:numId w:val="48"/>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w:t>
      </w:r>
      <w:r w:rsidRPr="00671FD0">
        <w:rPr>
          <w:rFonts w:ascii="Arial" w:hAnsi="Arial" w:cs="Arial"/>
        </w:rPr>
        <w:lastRenderedPageBreak/>
        <w:t xml:space="preserve">przekazywanych w postępowaniu, przyjmuje się datę ich przekazania na </w:t>
      </w:r>
      <w:proofErr w:type="spellStart"/>
      <w:r w:rsidRPr="00671FD0">
        <w:rPr>
          <w:rFonts w:ascii="Arial" w:hAnsi="Arial" w:cs="Arial"/>
        </w:rPr>
        <w:t>ePUAP</w:t>
      </w:r>
      <w:proofErr w:type="spellEnd"/>
      <w:r w:rsidR="00B83A41">
        <w:rPr>
          <w:rFonts w:ascii="Arial" w:hAnsi="Arial" w:cs="Arial"/>
        </w:rPr>
        <w:t xml:space="preserve"> w zakresie oferty lub datę ich przekazania za pośrednictwem poczty elektronicznej w pozostałym zakresie</w:t>
      </w:r>
      <w:r w:rsidRPr="00671FD0">
        <w:rPr>
          <w:rFonts w:ascii="Arial" w:hAnsi="Arial" w:cs="Arial"/>
        </w:rPr>
        <w:t>.</w:t>
      </w:r>
    </w:p>
    <w:p w14:paraId="36E5B62C" w14:textId="258A9020" w:rsidR="00B83A41" w:rsidRPr="00B83A41" w:rsidRDefault="007D36A9" w:rsidP="00B83A41">
      <w:pPr>
        <w:pStyle w:val="Akapitzlist"/>
        <w:numPr>
          <w:ilvl w:val="1"/>
          <w:numId w:val="48"/>
        </w:numPr>
        <w:spacing w:after="120" w:line="240" w:lineRule="auto"/>
        <w:jc w:val="both"/>
        <w:rPr>
          <w:rFonts w:ascii="Arial" w:hAnsi="Arial" w:cs="Arial"/>
        </w:rPr>
      </w:pPr>
      <w:r w:rsidRPr="00B83A41">
        <w:rPr>
          <w:rFonts w:ascii="Arial" w:hAnsi="Arial" w:cs="Arial"/>
        </w:rPr>
        <w:t xml:space="preserve">W postępowaniu o udzielenie zamówienia korespondencja elektroniczna (inna niż oferta </w:t>
      </w:r>
    </w:p>
    <w:p w14:paraId="33406380" w14:textId="17F897D6" w:rsidR="007D36A9" w:rsidRPr="00B83A41" w:rsidRDefault="007D36A9" w:rsidP="00B83A41">
      <w:pPr>
        <w:pStyle w:val="Akapitzlist"/>
        <w:spacing w:after="120" w:line="240" w:lineRule="auto"/>
        <w:ind w:left="360"/>
        <w:jc w:val="both"/>
        <w:rPr>
          <w:rFonts w:ascii="Arial" w:hAnsi="Arial" w:cs="Arial"/>
        </w:rPr>
      </w:pPr>
      <w:r w:rsidRPr="00B83A41">
        <w:rPr>
          <w:rFonts w:ascii="Arial" w:hAnsi="Arial" w:cs="Arial"/>
        </w:rPr>
        <w:t xml:space="preserve">Wykonawcy i załączniki do oferty) odbywa się elektronicznie za pośrednictwem dedykowanego formularza dostępnego na </w:t>
      </w:r>
      <w:proofErr w:type="spellStart"/>
      <w:r w:rsidRPr="00B83A41">
        <w:rPr>
          <w:rFonts w:ascii="Arial" w:hAnsi="Arial" w:cs="Arial"/>
        </w:rPr>
        <w:t>ePUAP</w:t>
      </w:r>
      <w:proofErr w:type="spellEnd"/>
      <w:r w:rsidRPr="00B83A41">
        <w:rPr>
          <w:rFonts w:ascii="Arial" w:hAnsi="Arial" w:cs="Arial"/>
        </w:rPr>
        <w:t xml:space="preserve"> oraz udostępnionego przez </w:t>
      </w:r>
      <w:proofErr w:type="spellStart"/>
      <w:r w:rsidRPr="00B83A41">
        <w:rPr>
          <w:rFonts w:ascii="Arial" w:hAnsi="Arial" w:cs="Arial"/>
        </w:rPr>
        <w:t>miniPortal</w:t>
      </w:r>
      <w:proofErr w:type="spellEnd"/>
      <w:r w:rsidRPr="00B83A41">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1E8B17D" w14:textId="77777777" w:rsidR="00B83A41"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w:t>
      </w:r>
    </w:p>
    <w:p w14:paraId="4835E62A" w14:textId="7AC991BB" w:rsidR="007D36A9" w:rsidRPr="00671FD0" w:rsidRDefault="007D36A9" w:rsidP="00B83A41">
      <w:pPr>
        <w:pStyle w:val="Akapitzlist"/>
        <w:spacing w:after="120" w:line="240" w:lineRule="auto"/>
        <w:ind w:left="227"/>
        <w:jc w:val="both"/>
        <w:rPr>
          <w:rFonts w:ascii="Arial" w:hAnsi="Arial" w:cs="Arial"/>
        </w:rPr>
      </w:pPr>
      <w:r w:rsidRPr="00671FD0">
        <w:rPr>
          <w:rFonts w:ascii="Arial" w:hAnsi="Arial" w:cs="Arial"/>
        </w:rPr>
        <w:t xml:space="preserve">komunikacji” jako załączniki. Zamawiający dopuszcza również możliwość składania dokumentów </w:t>
      </w:r>
      <w:r w:rsidRPr="00762626">
        <w:rPr>
          <w:rFonts w:ascii="Arial" w:hAnsi="Arial" w:cs="Arial"/>
        </w:rPr>
        <w:t xml:space="preserve">elektronicznych za pomocą poczty elektronicznej, na adres email: </w:t>
      </w:r>
      <w:bookmarkStart w:id="6" w:name="_Hlk65835069"/>
      <w:r w:rsidR="00762626" w:rsidRPr="00762626">
        <w:rPr>
          <w:rFonts w:ascii="Arial" w:hAnsi="Arial" w:cs="Arial"/>
        </w:rPr>
        <w:fldChar w:fldCharType="begin"/>
      </w:r>
      <w:r w:rsidR="00762626" w:rsidRPr="00762626">
        <w:rPr>
          <w:rFonts w:ascii="Arial" w:hAnsi="Arial" w:cs="Arial"/>
        </w:rPr>
        <w:instrText xml:space="preserve"> HYPERLINK "mailto:sekretariat@powiat-nowomiejski.pl" </w:instrText>
      </w:r>
      <w:r w:rsidR="00762626" w:rsidRPr="00762626">
        <w:rPr>
          <w:rFonts w:ascii="Arial" w:hAnsi="Arial" w:cs="Arial"/>
        </w:rPr>
        <w:fldChar w:fldCharType="separate"/>
      </w:r>
      <w:r w:rsidR="00762626" w:rsidRPr="00762626">
        <w:rPr>
          <w:rStyle w:val="Hipercze"/>
          <w:rFonts w:ascii="Arial" w:hAnsi="Arial" w:cs="Arial"/>
          <w:color w:val="auto"/>
        </w:rPr>
        <w:t>sekretariat@powiat-nowomiejski.pl</w:t>
      </w:r>
      <w:r w:rsidR="00762626" w:rsidRPr="00762626">
        <w:rPr>
          <w:rFonts w:ascii="Arial" w:hAnsi="Arial" w:cs="Arial"/>
        </w:rPr>
        <w:fldChar w:fldCharType="end"/>
      </w:r>
      <w:bookmarkEnd w:id="6"/>
      <w:r w:rsidR="00F96107" w:rsidRPr="00762626">
        <w:rPr>
          <w:rFonts w:ascii="Arial" w:hAnsi="Arial" w:cs="Arial"/>
        </w:rPr>
        <w:t xml:space="preserve"> .</w:t>
      </w:r>
      <w:r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463062" w:rsidRDefault="007D36A9" w:rsidP="00671FD0">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 xml:space="preserve">środków komunikacji elektronicznej, </w:t>
      </w:r>
      <w:r w:rsidRPr="00463062">
        <w:rPr>
          <w:rFonts w:ascii="Arial" w:hAnsi="Arial" w:cs="Arial"/>
        </w:rPr>
        <w:t>wskazanych w SWZ.</w:t>
      </w:r>
    </w:p>
    <w:p w14:paraId="5E3B47EB" w14:textId="7F964DF2" w:rsidR="001C0D57" w:rsidRPr="00671FD0" w:rsidRDefault="007D36A9"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463062">
        <w:rPr>
          <w:rFonts w:ascii="Arial" w:hAnsi="Arial" w:cs="Arial"/>
        </w:rPr>
        <w:t xml:space="preserve">Zamawiający przekazuje ID postępowania </w:t>
      </w:r>
      <w:r w:rsidR="00463062" w:rsidRPr="00463062">
        <w:rPr>
          <w:rFonts w:ascii="Arial" w:hAnsi="Arial" w:cs="Arial"/>
        </w:rPr>
        <w:t>ocds-148610-de8db345-ac1d-11ec-80f8-1ad70aec7fa4</w:t>
      </w:r>
      <w:r w:rsidRPr="00463062">
        <w:rPr>
          <w:rFonts w:ascii="Arial" w:hAnsi="Arial" w:cs="Arial"/>
          <w:b/>
        </w:rPr>
        <w:t>.</w:t>
      </w:r>
      <w:r w:rsidRPr="00463062">
        <w:rPr>
          <w:rFonts w:ascii="Arial" w:hAnsi="Arial" w:cs="Arial"/>
        </w:rPr>
        <w:t xml:space="preserve"> Dane postępowanie można wyszukać również </w:t>
      </w:r>
      <w:r w:rsidRPr="00820A3B">
        <w:rPr>
          <w:rFonts w:ascii="Arial" w:hAnsi="Arial" w:cs="Arial"/>
        </w:rPr>
        <w:t xml:space="preserve">na Liście wszystkich postępowań w </w:t>
      </w:r>
      <w:proofErr w:type="spellStart"/>
      <w:r w:rsidRPr="00820A3B">
        <w:rPr>
          <w:rFonts w:ascii="Arial" w:hAnsi="Arial" w:cs="Arial"/>
        </w:rPr>
        <w:t>miniPortalu</w:t>
      </w:r>
      <w:proofErr w:type="spellEnd"/>
      <w:r w:rsidRPr="00820A3B">
        <w:rPr>
          <w:rFonts w:ascii="Arial" w:hAnsi="Arial" w:cs="Arial"/>
        </w:rPr>
        <w:t xml:space="preserve"> klikając wcześniej opcję „Dla Wykonawców</w:t>
      </w:r>
      <w:r w:rsidRPr="00671FD0">
        <w:rPr>
          <w:rFonts w:ascii="Arial" w:hAnsi="Arial" w:cs="Arial"/>
        </w:rPr>
        <w:t>” lub ze strony głównej z zakładki Postępowania.</w:t>
      </w:r>
    </w:p>
    <w:p w14:paraId="2342EC2C" w14:textId="48548EE9"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002F1CA9">
        <w:rPr>
          <w:rFonts w:ascii="Arial" w:hAnsi="Arial" w:cs="Arial"/>
        </w:rPr>
        <w:t xml:space="preserve"> lub 6.9 SWZ</w:t>
      </w:r>
      <w:r w:rsidRPr="00331D10">
        <w:rPr>
          <w:rFonts w:ascii="Arial" w:hAnsi="Arial" w:cs="Arial"/>
          <w:color w:val="FF0000"/>
        </w:rPr>
        <w:t>.</w:t>
      </w:r>
    </w:p>
    <w:p w14:paraId="596B19BE" w14:textId="77777777"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20C6B8C0"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ofertą przez okres 30 dni</w:t>
      </w:r>
      <w:r w:rsidR="00A144C1">
        <w:rPr>
          <w:rFonts w:ascii="Arial" w:hAnsi="Arial" w:cs="Arial"/>
        </w:rPr>
        <w:t>,</w:t>
      </w:r>
      <w:r w:rsidRPr="00671FD0">
        <w:rPr>
          <w:rFonts w:ascii="Arial" w:hAnsi="Arial" w:cs="Arial"/>
        </w:rPr>
        <w:t xml:space="preserve"> do </w:t>
      </w:r>
      <w:r w:rsidRPr="001115C7">
        <w:rPr>
          <w:rFonts w:ascii="Arial" w:hAnsi="Arial" w:cs="Arial"/>
        </w:rPr>
        <w:t xml:space="preserve">dnia </w:t>
      </w:r>
      <w:r w:rsidR="00A64DAE" w:rsidRPr="001115C7">
        <w:rPr>
          <w:rFonts w:ascii="Arial" w:hAnsi="Arial" w:cs="Arial"/>
        </w:rPr>
        <w:t>13</w:t>
      </w:r>
      <w:r w:rsidR="00C76DA2" w:rsidRPr="001115C7">
        <w:rPr>
          <w:rFonts w:ascii="Arial" w:hAnsi="Arial" w:cs="Arial"/>
        </w:rPr>
        <w:t>.0</w:t>
      </w:r>
      <w:r w:rsidR="00A64DAE" w:rsidRPr="001115C7">
        <w:rPr>
          <w:rFonts w:ascii="Arial" w:hAnsi="Arial" w:cs="Arial"/>
        </w:rPr>
        <w:t>5</w:t>
      </w:r>
      <w:r w:rsidR="00C76DA2" w:rsidRPr="001115C7">
        <w:rPr>
          <w:rFonts w:ascii="Arial" w:hAnsi="Arial" w:cs="Arial"/>
        </w:rPr>
        <w:t>.202</w:t>
      </w:r>
      <w:r w:rsidR="002F1CA9" w:rsidRPr="001115C7">
        <w:rPr>
          <w:rFonts w:ascii="Arial" w:hAnsi="Arial" w:cs="Arial"/>
        </w:rPr>
        <w:t>2</w:t>
      </w:r>
      <w:r w:rsidR="00C76DA2" w:rsidRPr="001115C7">
        <w:rPr>
          <w:rFonts w:ascii="Arial" w:hAnsi="Arial" w:cs="Arial"/>
        </w:rPr>
        <w:t xml:space="preserve">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7CA0B09D"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3BA47238" w14:textId="77777777" w:rsidR="00433F14" w:rsidRPr="00671FD0" w:rsidRDefault="00433F14" w:rsidP="00433F14">
      <w:pPr>
        <w:spacing w:after="0" w:line="240" w:lineRule="auto"/>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w:t>
      </w:r>
      <w:r w:rsidR="002A1FE2" w:rsidRPr="00671FD0">
        <w:rPr>
          <w:rFonts w:ascii="Arial" w:hAnsi="Arial" w:cs="Arial"/>
          <w:b/>
        </w:rPr>
        <w:t>y</w:t>
      </w:r>
    </w:p>
    <w:p w14:paraId="49049FD7" w14:textId="08A12CF9"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formie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Pr="00353B54">
        <w:rPr>
          <w:rFonts w:ascii="Arial" w:hAnsi="Arial" w:cs="Arial"/>
          <w:bCs/>
        </w:rPr>
        <w:t>.</w:t>
      </w:r>
    </w:p>
    <w:p w14:paraId="2042655F" w14:textId="54BDE2D9"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Kosztorys</w:t>
      </w:r>
      <w:r w:rsidR="00A64DAE">
        <w:rPr>
          <w:rFonts w:ascii="Arial" w:hAnsi="Arial" w:cs="Arial"/>
          <w:bCs/>
        </w:rPr>
        <w:t>y</w:t>
      </w:r>
      <w:r w:rsidRPr="00353B54">
        <w:rPr>
          <w:rFonts w:ascii="Arial" w:hAnsi="Arial" w:cs="Arial"/>
          <w:bCs/>
        </w:rPr>
        <w:t xml:space="preserve"> ofertow</w:t>
      </w:r>
      <w:r w:rsidR="00A64DAE">
        <w:rPr>
          <w:rFonts w:ascii="Arial" w:hAnsi="Arial" w:cs="Arial"/>
          <w:bCs/>
        </w:rPr>
        <w:t>e</w:t>
      </w:r>
      <w:r w:rsidRPr="00353B54">
        <w:rPr>
          <w:rFonts w:ascii="Arial" w:hAnsi="Arial" w:cs="Arial"/>
          <w:bCs/>
        </w:rPr>
        <w:t xml:space="preserve"> sporządzon</w:t>
      </w:r>
      <w:r w:rsidR="00A64DAE">
        <w:rPr>
          <w:rFonts w:ascii="Arial" w:hAnsi="Arial" w:cs="Arial"/>
          <w:bCs/>
        </w:rPr>
        <w:t>e</w:t>
      </w:r>
      <w:r w:rsidRPr="00353B54">
        <w:rPr>
          <w:rFonts w:ascii="Arial" w:hAnsi="Arial" w:cs="Arial"/>
          <w:bCs/>
        </w:rPr>
        <w:t xml:space="preserve"> w oparciu o Załącznik nr </w:t>
      </w:r>
      <w:r w:rsidR="002F1CA9">
        <w:rPr>
          <w:rFonts w:ascii="Arial" w:hAnsi="Arial" w:cs="Arial"/>
          <w:bCs/>
        </w:rPr>
        <w:t>9</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w:t>
      </w:r>
      <w:r w:rsidR="005C1780">
        <w:rPr>
          <w:rFonts w:ascii="Arial" w:hAnsi="Arial" w:cs="Arial"/>
        </w:rPr>
        <w:t>i</w:t>
      </w:r>
      <w:r w:rsidRPr="00353B54">
        <w:rPr>
          <w:rFonts w:ascii="Arial" w:hAnsi="Arial" w:cs="Arial"/>
        </w:rPr>
        <w:t xml:space="preserve"> nr </w:t>
      </w:r>
      <w:r w:rsidR="002F1CA9">
        <w:rPr>
          <w:rFonts w:ascii="Arial" w:hAnsi="Arial" w:cs="Arial"/>
        </w:rPr>
        <w:t>10</w:t>
      </w:r>
      <w:r w:rsidR="005C1780">
        <w:rPr>
          <w:rFonts w:ascii="Arial" w:hAnsi="Arial" w:cs="Arial"/>
        </w:rPr>
        <w:t>a i 10b</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w:t>
      </w:r>
      <w:r w:rsidR="005C1780">
        <w:rPr>
          <w:rFonts w:ascii="Arial" w:hAnsi="Arial" w:cs="Arial"/>
        </w:rPr>
        <w:t>i</w:t>
      </w:r>
      <w:r w:rsidRPr="00353B54">
        <w:rPr>
          <w:rFonts w:ascii="Arial" w:hAnsi="Arial" w:cs="Arial"/>
        </w:rPr>
        <w:t xml:space="preserve"> nr </w:t>
      </w:r>
      <w:r w:rsidR="00A144C1">
        <w:rPr>
          <w:rFonts w:ascii="Arial" w:hAnsi="Arial" w:cs="Arial"/>
        </w:rPr>
        <w:t>1</w:t>
      </w:r>
      <w:r w:rsidR="002F1CA9">
        <w:rPr>
          <w:rFonts w:ascii="Arial" w:hAnsi="Arial" w:cs="Arial"/>
        </w:rPr>
        <w:t>1</w:t>
      </w:r>
      <w:r w:rsidR="003A45E9">
        <w:rPr>
          <w:rFonts w:ascii="Arial" w:hAnsi="Arial" w:cs="Arial"/>
        </w:rPr>
        <w:t>a, 11b i 11c</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w:t>
      </w:r>
      <w:r w:rsidR="003A45E9">
        <w:rPr>
          <w:rFonts w:ascii="Arial" w:hAnsi="Arial" w:cs="Arial"/>
        </w:rPr>
        <w:t>y</w:t>
      </w:r>
      <w:r w:rsidRPr="00353B54">
        <w:rPr>
          <w:rFonts w:ascii="Arial" w:hAnsi="Arial" w:cs="Arial"/>
        </w:rPr>
        <w:t xml:space="preserve"> ofertow</w:t>
      </w:r>
      <w:r w:rsidR="003A45E9">
        <w:rPr>
          <w:rFonts w:ascii="Arial" w:hAnsi="Arial" w:cs="Arial"/>
        </w:rPr>
        <w:t>e</w:t>
      </w:r>
      <w:r w:rsidRPr="00353B54">
        <w:rPr>
          <w:rFonts w:ascii="Arial" w:hAnsi="Arial" w:cs="Arial"/>
        </w:rPr>
        <w:t xml:space="preserve"> stanowić będ</w:t>
      </w:r>
      <w:r w:rsidR="003A45E9">
        <w:rPr>
          <w:rFonts w:ascii="Arial" w:hAnsi="Arial" w:cs="Arial"/>
        </w:rPr>
        <w:t>ą</w:t>
      </w:r>
      <w:r w:rsidRPr="00353B54">
        <w:rPr>
          <w:rFonts w:ascii="Arial" w:hAnsi="Arial" w:cs="Arial"/>
        </w:rPr>
        <w:t xml:space="preserve"> podstawę dla Zamawiającego do badania oferty pod kątem:</w:t>
      </w:r>
    </w:p>
    <w:p w14:paraId="2E37B5F8" w14:textId="6F5991DC"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047A4EEA" w:rsidR="00353B54" w:rsidRPr="00331D10" w:rsidRDefault="00BF0E98"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w:t>
      </w:r>
      <w:r w:rsidRPr="005A672E">
        <w:rPr>
          <w:rFonts w:ascii="Arial" w:hAnsi="Arial" w:cs="Arial"/>
        </w:rPr>
        <w:lastRenderedPageBreak/>
        <w:t>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D826EE"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7A5F3C76" w:rsidR="00C705DD" w:rsidRPr="00D826EE" w:rsidRDefault="00C705DD" w:rsidP="00D826EE">
      <w:pPr>
        <w:pStyle w:val="Akapitzlist"/>
        <w:numPr>
          <w:ilvl w:val="1"/>
          <w:numId w:val="1"/>
        </w:numPr>
        <w:spacing w:after="0" w:line="240" w:lineRule="auto"/>
        <w:jc w:val="both"/>
        <w:rPr>
          <w:rFonts w:ascii="Arial" w:hAnsi="Arial" w:cs="Arial"/>
          <w:color w:val="FF0000"/>
        </w:rPr>
      </w:pPr>
      <w:r w:rsidRPr="00D826EE">
        <w:rPr>
          <w:rFonts w:ascii="Arial" w:hAnsi="Arial" w:cs="Arial"/>
        </w:rPr>
        <w:t xml:space="preserve">Ofertę wraz z wymaganymi załącznikami należy złożyć w terminie do </w:t>
      </w:r>
      <w:r w:rsidRPr="001115C7">
        <w:rPr>
          <w:rFonts w:ascii="Arial" w:hAnsi="Arial" w:cs="Arial"/>
        </w:rPr>
        <w:t xml:space="preserve">dnia </w:t>
      </w:r>
      <w:bookmarkStart w:id="7" w:name="_Hlk65670872"/>
      <w:r w:rsidR="003A45E9" w:rsidRPr="001115C7">
        <w:rPr>
          <w:rFonts w:ascii="Arial" w:hAnsi="Arial" w:cs="Arial"/>
        </w:rPr>
        <w:t>14 kwiet</w:t>
      </w:r>
      <w:r w:rsidR="00F278A4" w:rsidRPr="001115C7">
        <w:rPr>
          <w:rFonts w:ascii="Arial" w:hAnsi="Arial" w:cs="Arial"/>
        </w:rPr>
        <w:t>ni</w:t>
      </w:r>
      <w:r w:rsidRPr="001115C7">
        <w:rPr>
          <w:rFonts w:ascii="Arial" w:hAnsi="Arial" w:cs="Arial"/>
        </w:rPr>
        <w:t>a 202</w:t>
      </w:r>
      <w:r w:rsidR="00F278A4" w:rsidRPr="001115C7">
        <w:rPr>
          <w:rFonts w:ascii="Arial" w:hAnsi="Arial" w:cs="Arial"/>
        </w:rPr>
        <w:t>2</w:t>
      </w:r>
      <w:r w:rsidRPr="001115C7">
        <w:rPr>
          <w:rFonts w:ascii="Arial" w:hAnsi="Arial" w:cs="Arial"/>
        </w:rPr>
        <w:t xml:space="preserve"> </w:t>
      </w:r>
      <w:r w:rsidRPr="00D826EE">
        <w:rPr>
          <w:rFonts w:ascii="Arial" w:hAnsi="Arial" w:cs="Arial"/>
        </w:rPr>
        <w:t>r., do godz. 10:00</w:t>
      </w:r>
      <w:r w:rsidRPr="00D826EE">
        <w:rPr>
          <w:rFonts w:ascii="Arial" w:hAnsi="Arial" w:cs="Arial"/>
          <w:color w:val="FF0000"/>
        </w:rPr>
        <w:t xml:space="preserve">.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53800BA6" w:rsidR="00C705DD" w:rsidRPr="00AF1809" w:rsidRDefault="00C705DD" w:rsidP="00AF1809">
      <w:pPr>
        <w:pStyle w:val="Akapitzlist"/>
        <w:numPr>
          <w:ilvl w:val="1"/>
          <w:numId w:val="1"/>
        </w:numPr>
        <w:rPr>
          <w:rFonts w:ascii="Arial" w:hAnsi="Arial" w:cs="Arial"/>
        </w:rPr>
      </w:pPr>
      <w:r w:rsidRPr="00AF1809">
        <w:rPr>
          <w:rFonts w:ascii="Arial" w:hAnsi="Arial" w:cs="Arial"/>
        </w:rPr>
        <w:t>Otwarcie ofert następuje</w:t>
      </w:r>
      <w:r w:rsidR="00AF1809" w:rsidRPr="00AF1809">
        <w:rPr>
          <w:rFonts w:ascii="Arial" w:hAnsi="Arial" w:cs="Arial"/>
        </w:rPr>
        <w:t xml:space="preserve"> w </w:t>
      </w:r>
      <w:r w:rsidR="00AF1809" w:rsidRPr="001115C7">
        <w:rPr>
          <w:rFonts w:ascii="Arial" w:hAnsi="Arial" w:cs="Arial"/>
        </w:rPr>
        <w:t xml:space="preserve">dniu </w:t>
      </w:r>
      <w:r w:rsidR="003A45E9" w:rsidRPr="001115C7">
        <w:rPr>
          <w:rFonts w:ascii="Arial" w:hAnsi="Arial" w:cs="Arial"/>
        </w:rPr>
        <w:t>14 kwiet</w:t>
      </w:r>
      <w:r w:rsidR="00F278A4" w:rsidRPr="001115C7">
        <w:rPr>
          <w:rFonts w:ascii="Arial" w:hAnsi="Arial" w:cs="Arial"/>
        </w:rPr>
        <w:t>ni</w:t>
      </w:r>
      <w:r w:rsidR="00AF1809" w:rsidRPr="001115C7">
        <w:rPr>
          <w:rFonts w:ascii="Arial" w:hAnsi="Arial" w:cs="Arial"/>
        </w:rPr>
        <w:t>a 202</w:t>
      </w:r>
      <w:r w:rsidR="00F278A4" w:rsidRPr="001115C7">
        <w:rPr>
          <w:rFonts w:ascii="Arial" w:hAnsi="Arial" w:cs="Arial"/>
        </w:rPr>
        <w:t>2</w:t>
      </w:r>
      <w:r w:rsidR="00AF1809" w:rsidRPr="001115C7">
        <w:rPr>
          <w:rFonts w:ascii="Arial" w:hAnsi="Arial" w:cs="Arial"/>
        </w:rPr>
        <w:t xml:space="preserve"> r., do </w:t>
      </w:r>
      <w:r w:rsidR="00AF1809" w:rsidRPr="00AF1809">
        <w:rPr>
          <w:rFonts w:ascii="Arial" w:hAnsi="Arial" w:cs="Arial"/>
        </w:rPr>
        <w:t xml:space="preserve">godz. 10:30 </w:t>
      </w:r>
      <w:r w:rsidRPr="00AF1809">
        <w:rPr>
          <w:rFonts w:ascii="Arial" w:hAnsi="Arial" w:cs="Arial"/>
        </w:rPr>
        <w:t xml:space="preserve"> poprzez 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5BD289D1" w14:textId="2F0D9E47" w:rsidR="00B55290" w:rsidRPr="00F278A4" w:rsidRDefault="00762626" w:rsidP="00F278A4">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2CE72431" w:rsidR="001261C8" w:rsidRPr="003B7274" w:rsidRDefault="001261C8" w:rsidP="008439BE">
      <w:pPr>
        <w:pStyle w:val="Akapitzlist"/>
        <w:numPr>
          <w:ilvl w:val="0"/>
          <w:numId w:val="1"/>
        </w:numPr>
        <w:spacing w:after="0" w:line="240" w:lineRule="auto"/>
        <w:contextualSpacing w:val="0"/>
        <w:rPr>
          <w:rFonts w:ascii="Arial" w:hAnsi="Arial" w:cs="Arial"/>
          <w:b/>
        </w:rPr>
      </w:pPr>
      <w:r w:rsidRPr="003B7274">
        <w:rPr>
          <w:rFonts w:ascii="Arial" w:hAnsi="Arial" w:cs="Arial"/>
          <w:b/>
        </w:rPr>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B7274">
        <w:rPr>
          <w:rFonts w:ascii="Arial" w:hAnsi="Arial" w:cs="Arial"/>
        </w:rPr>
        <w:t xml:space="preserve">Cenę należy </w:t>
      </w:r>
      <w:r w:rsidRPr="004911D4">
        <w:rPr>
          <w:rFonts w:ascii="Arial" w:hAnsi="Arial" w:cs="Arial"/>
        </w:rPr>
        <w:t>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712A0EF1"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lastRenderedPageBreak/>
        <w:t>Cena podana w formularzu ofertowym nie może różnić się od ceny wynikającej z kosztorys</w:t>
      </w:r>
      <w:r w:rsidR="003B7274">
        <w:rPr>
          <w:rFonts w:ascii="Arial" w:hAnsi="Arial" w:cs="Arial"/>
        </w:rPr>
        <w:t>ów</w:t>
      </w:r>
      <w:r w:rsidRPr="004911D4">
        <w:rPr>
          <w:rFonts w:ascii="Arial" w:hAnsi="Arial" w:cs="Arial"/>
        </w:rPr>
        <w:t xml:space="preserve"> ofertow</w:t>
      </w:r>
      <w:r w:rsidR="003B7274">
        <w:rPr>
          <w:rFonts w:ascii="Arial" w:hAnsi="Arial" w:cs="Arial"/>
        </w:rPr>
        <w:t>ych</w:t>
      </w:r>
      <w:r w:rsidRPr="004911D4">
        <w:rPr>
          <w:rFonts w:ascii="Arial" w:hAnsi="Arial" w:cs="Arial"/>
        </w:rPr>
        <w:t>.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E4CA363" w14:textId="611C7571" w:rsidR="008E3E96" w:rsidRDefault="008E3E96"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Cena oferty winna być obliczona przy założeniu, że umowa przewiduje wynagrodzenie kosztorysowe. </w:t>
      </w:r>
    </w:p>
    <w:p w14:paraId="1063B08E" w14:textId="4EC10794" w:rsidR="008D26E3" w:rsidRDefault="008D26E3"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Cena oferty zostanie wyliczona przez Wykonawcę w oparciu o kosztorys ofertowy sporządzony na podstawie przedmiaru robót (Załączniki nr 11a, 11b i 11c do SWZ).</w:t>
      </w:r>
    </w:p>
    <w:p w14:paraId="04CA3737" w14:textId="06734D28" w:rsidR="008369EE" w:rsidRPr="008369EE" w:rsidRDefault="008369EE"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Wykonawca obliczając cenę oferty musi uwzględnić w kosztorysie ofertowym wszystkie pozycje przedmiarowe opisane w przedmiarach robót. Wykonawca nie może samodzielnie wprowadzić zmian do przedmiarów robót. Wszystkie błędy ujawnione w </w:t>
      </w:r>
      <w:proofErr w:type="spellStart"/>
      <w:r>
        <w:rPr>
          <w:rFonts w:ascii="Arial" w:hAnsi="Arial" w:cs="Arial"/>
          <w:bCs/>
        </w:rPr>
        <w:t>S</w:t>
      </w:r>
      <w:r w:rsidR="005C1780">
        <w:rPr>
          <w:rFonts w:ascii="Arial" w:hAnsi="Arial" w:cs="Arial"/>
          <w:bCs/>
        </w:rPr>
        <w:t>S</w:t>
      </w:r>
      <w:r>
        <w:rPr>
          <w:rFonts w:ascii="Arial" w:hAnsi="Arial" w:cs="Arial"/>
          <w:bCs/>
        </w:rPr>
        <w:t>TWiOR</w:t>
      </w:r>
      <w:proofErr w:type="spellEnd"/>
      <w:r>
        <w:rPr>
          <w:rFonts w:ascii="Arial" w:hAnsi="Arial" w:cs="Arial"/>
          <w:bCs/>
        </w:rPr>
        <w:t xml:space="preserve">, dokumentacji projektowej oraz przedmiarach robót, wykonawca powinien zgłosić zamawiającemu przed terminem składania ofert. </w:t>
      </w:r>
    </w:p>
    <w:p w14:paraId="45536583" w14:textId="16137DB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w:t>
      </w:r>
      <w:r w:rsidR="003B7274">
        <w:rPr>
          <w:rFonts w:ascii="Arial" w:hAnsi="Arial" w:cs="Arial"/>
        </w:rPr>
        <w:t xml:space="preserve">, Przedmiarem robót </w:t>
      </w:r>
      <w:r w:rsidRPr="004911D4">
        <w:rPr>
          <w:rFonts w:ascii="Arial" w:hAnsi="Arial" w:cs="Arial"/>
        </w:rPr>
        <w:t>oraz niniejszą SWZ, w tym również wszelkie koszty towarzyszące, a w szczególności:</w:t>
      </w:r>
    </w:p>
    <w:p w14:paraId="2B6A335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DB49095" w14:textId="6A101E69" w:rsidR="003B7274" w:rsidRPr="003B7274" w:rsidRDefault="003B727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Wynagrodzenie przysługujące Wykonawcy, wynikające ze złożonej oferty, może ulec zmianie w przypadku ustawowej zmiany stawki podatku od towarów i usług VAT. Zmiana wynagrodzenia z tytułu zmiany stawki podatku od towarów i usług VAT  wymaga aneksu do umowy. </w:t>
      </w:r>
    </w:p>
    <w:p w14:paraId="2704DBE3" w14:textId="2D269F28"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lastRenderedPageBreak/>
        <w:t>Wskazania wartości towaru lub usługi objętego obowiązkiem podatkowym zamawiającego, bez kwoty podatku</w:t>
      </w:r>
    </w:p>
    <w:p w14:paraId="7DF6FB6C" w14:textId="68F17B8D" w:rsidR="00964910"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5"/>
    <w:p w14:paraId="7AD181EB" w14:textId="77777777" w:rsidR="007D2A2F" w:rsidRPr="00671FD0" w:rsidRDefault="007D2A2F"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46AA88BB"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 xml:space="preserve">okres gwarancji       </w:t>
      </w:r>
      <w:r w:rsidR="001115C7">
        <w:rPr>
          <w:rFonts w:ascii="Arial" w:hAnsi="Arial" w:cs="Arial"/>
        </w:rPr>
        <w:t>4</w:t>
      </w:r>
      <w:r w:rsidRPr="004118B9">
        <w:rPr>
          <w:rFonts w:ascii="Arial" w:hAnsi="Arial" w:cs="Arial"/>
        </w:rPr>
        <w:t>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61F7A4CB"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w:t>
      </w:r>
      <w:r w:rsidR="001115C7">
        <w:rPr>
          <w:rFonts w:ascii="Arial" w:hAnsi="Arial" w:cs="Arial"/>
        </w:rPr>
        <w:t>4</w:t>
      </w:r>
      <w:r w:rsidRPr="004118B9">
        <w:rPr>
          <w:rFonts w:ascii="Arial" w:hAnsi="Arial" w:cs="Arial"/>
        </w:rPr>
        <w:t>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03F30645"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w:t>
      </w:r>
      <w:r w:rsidR="001115C7">
        <w:rPr>
          <w:rFonts w:ascii="Arial" w:hAnsi="Arial" w:cs="Arial"/>
        </w:rPr>
        <w:t>4</w:t>
      </w:r>
      <w:r w:rsidRPr="004118B9">
        <w:rPr>
          <w:rFonts w:ascii="Arial" w:hAnsi="Arial" w:cs="Arial"/>
        </w:rPr>
        <w:t>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0F0D6D86"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w:t>
      </w:r>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lastRenderedPageBreak/>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186E58">
      <w:pPr>
        <w:pStyle w:val="Akapitzlist"/>
        <w:numPr>
          <w:ilvl w:val="1"/>
          <w:numId w:val="1"/>
        </w:numPr>
        <w:spacing w:after="0" w:line="240" w:lineRule="auto"/>
        <w:ind w:left="360"/>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EDA8F3" w14:textId="0D843EB6" w:rsidR="00C801AC"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001239CE">
        <w:rPr>
          <w:rFonts w:ascii="Arial" w:hAnsi="Arial" w:cs="Arial"/>
        </w:rPr>
        <w:t xml:space="preserve">do akceptacji </w:t>
      </w:r>
      <w:r w:rsidRPr="00827E07">
        <w:rPr>
          <w:rFonts w:ascii="Arial" w:hAnsi="Arial" w:cs="Arial"/>
        </w:rPr>
        <w:t>harmonogram rzeczowo – finansowy robót, opracowany na podstawie przedmiar</w:t>
      </w:r>
      <w:r w:rsidR="00F51704">
        <w:rPr>
          <w:rFonts w:ascii="Arial" w:hAnsi="Arial" w:cs="Arial"/>
        </w:rPr>
        <w:t>ów</w:t>
      </w:r>
      <w:r w:rsidRPr="00827E07">
        <w:rPr>
          <w:rFonts w:ascii="Arial" w:hAnsi="Arial" w:cs="Arial"/>
        </w:rPr>
        <w:t xml:space="preserve"> robót (Załącznik nr </w:t>
      </w:r>
      <w:r w:rsidR="00B94BDF" w:rsidRPr="00827E07">
        <w:rPr>
          <w:rFonts w:ascii="Arial" w:hAnsi="Arial" w:cs="Arial"/>
        </w:rPr>
        <w:t>1</w:t>
      </w:r>
      <w:r w:rsidR="00186E58">
        <w:rPr>
          <w:rFonts w:ascii="Arial" w:hAnsi="Arial" w:cs="Arial"/>
        </w:rPr>
        <w:t>1</w:t>
      </w:r>
      <w:r w:rsidR="00F51704">
        <w:rPr>
          <w:rFonts w:ascii="Arial" w:hAnsi="Arial" w:cs="Arial"/>
        </w:rPr>
        <w:t>a, 11b i 11c</w:t>
      </w:r>
      <w:r w:rsidR="0092711C" w:rsidRPr="00827E07">
        <w:rPr>
          <w:rFonts w:ascii="Arial" w:hAnsi="Arial" w:cs="Arial"/>
        </w:rPr>
        <w:t xml:space="preserve"> do SWZ</w:t>
      </w:r>
      <w:r w:rsidRPr="00827E07">
        <w:rPr>
          <w:rFonts w:ascii="Arial" w:hAnsi="Arial" w:cs="Arial"/>
        </w:rPr>
        <w:t>)</w:t>
      </w:r>
      <w:r w:rsidR="001239CE">
        <w:rPr>
          <w:rFonts w:ascii="Arial" w:hAnsi="Arial" w:cs="Arial"/>
        </w:rPr>
        <w:t xml:space="preserve"> i kosztorysu ofertowego</w:t>
      </w:r>
      <w:r w:rsidRPr="00827E07">
        <w:rPr>
          <w:rFonts w:ascii="Arial" w:hAnsi="Arial" w:cs="Arial"/>
        </w:rPr>
        <w:t>.</w:t>
      </w:r>
      <w:r w:rsidR="001239CE">
        <w:rPr>
          <w:rFonts w:ascii="Arial" w:hAnsi="Arial" w:cs="Arial"/>
        </w:rPr>
        <w:t xml:space="preserve"> Harmonogram powinien zawierać m. in. zakresy robót i kwoty wraz z terminem ich wykonania (dzień – miesiąc – rok). Zamawiający dopuszcza, aby harmonogram rzeczowo – finansowy sporządzony przez Wykonawcę modyfikowany był w zakresie zmiany terminu</w:t>
      </w:r>
      <w:r w:rsidR="00E35F75">
        <w:rPr>
          <w:rFonts w:ascii="Arial" w:hAnsi="Arial" w:cs="Arial"/>
        </w:rPr>
        <w:t xml:space="preserve"> i kolejności wykonani poszczególnych zakresów robót każdorazowo po uzgodnieniu i zaakceptowaniu przez Zamawiającego. </w:t>
      </w:r>
    </w:p>
    <w:p w14:paraId="25667A6D" w14:textId="3B0CE490" w:rsidR="00E35F75" w:rsidRPr="00F6709E" w:rsidRDefault="00E35F75" w:rsidP="008439BE">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Przed </w:t>
      </w:r>
      <w:r w:rsidRPr="00E35F75">
        <w:rPr>
          <w:rFonts w:ascii="Arial" w:hAnsi="Arial" w:cs="Arial"/>
        </w:rPr>
        <w:t>podpisaniem umowy wybrany wykonawca będzie zobowiązany przedłożyć</w:t>
      </w:r>
      <w:r>
        <w:rPr>
          <w:rFonts w:ascii="Arial" w:hAnsi="Arial" w:cs="Arial"/>
        </w:rPr>
        <w:t xml:space="preserve"> do akceptacji kosztorys</w:t>
      </w:r>
      <w:r w:rsidR="006B78C4">
        <w:rPr>
          <w:rFonts w:ascii="Arial" w:hAnsi="Arial" w:cs="Arial"/>
        </w:rPr>
        <w:t>y</w:t>
      </w:r>
      <w:r>
        <w:rPr>
          <w:rFonts w:ascii="Arial" w:hAnsi="Arial" w:cs="Arial"/>
        </w:rPr>
        <w:t xml:space="preserve"> ofertow</w:t>
      </w:r>
      <w:r w:rsidR="006B78C4">
        <w:rPr>
          <w:rFonts w:ascii="Arial" w:hAnsi="Arial" w:cs="Arial"/>
        </w:rPr>
        <w:t>e</w:t>
      </w:r>
      <w:r>
        <w:rPr>
          <w:rFonts w:ascii="Arial" w:hAnsi="Arial" w:cs="Arial"/>
        </w:rPr>
        <w:t xml:space="preserve"> sporządzon</w:t>
      </w:r>
      <w:r w:rsidR="006B78C4">
        <w:rPr>
          <w:rFonts w:ascii="Arial" w:hAnsi="Arial" w:cs="Arial"/>
        </w:rPr>
        <w:t>e</w:t>
      </w:r>
      <w:r>
        <w:rPr>
          <w:rFonts w:ascii="Arial" w:hAnsi="Arial" w:cs="Arial"/>
        </w:rPr>
        <w:t xml:space="preserve"> metodą kalkulacji szczegółowej</w:t>
      </w:r>
      <w:r w:rsidR="006B78C4">
        <w:rPr>
          <w:rFonts w:ascii="Arial" w:hAnsi="Arial" w:cs="Arial"/>
        </w:rPr>
        <w:t xml:space="preserve">, których wartość będzie zgodna z cenami poszczególnych części i ceną całkowitą oferty, a zakres rzeczowy będzie identyczny z zakresem występującym w przedmiarach robót opracowanych przez zamawiającego i stanowiących załącznik do SWZ. </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lastRenderedPageBreak/>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7FD75BA9"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roboty budowlane lub usługi</w:t>
      </w:r>
      <w:r w:rsidR="00186E58">
        <w:rPr>
          <w:rFonts w:ascii="Arial" w:hAnsi="Arial" w:cs="Arial"/>
          <w:bCs/>
        </w:rPr>
        <w:t xml:space="preserve">. Wykonawca zawiadamia Zamawiającego o wszelkich </w:t>
      </w:r>
      <w:r w:rsidR="003951C8">
        <w:rPr>
          <w:rFonts w:ascii="Arial" w:hAnsi="Arial" w:cs="Arial"/>
          <w:bCs/>
        </w:rPr>
        <w:t>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964248">
        <w:rPr>
          <w:rFonts w:ascii="Arial" w:hAnsi="Arial" w:cs="Arial"/>
        </w:rPr>
        <w:t>.</w:t>
      </w:r>
    </w:p>
    <w:p w14:paraId="4357AD77" w14:textId="46B2557D" w:rsidR="00C801AC" w:rsidRPr="00671FD0" w:rsidRDefault="003951C8" w:rsidP="008439BE">
      <w:pPr>
        <w:pStyle w:val="Akapitzlist"/>
        <w:numPr>
          <w:ilvl w:val="1"/>
          <w:numId w:val="1"/>
        </w:numPr>
        <w:spacing w:after="0" w:line="240" w:lineRule="auto"/>
        <w:ind w:left="709" w:hanging="709"/>
        <w:contextualSpacing w:val="0"/>
        <w:jc w:val="both"/>
        <w:rPr>
          <w:rFonts w:ascii="Arial" w:hAnsi="Arial" w:cs="Arial"/>
          <w:color w:val="FF0000"/>
        </w:rPr>
      </w:pPr>
      <w:r>
        <w:rPr>
          <w:rFonts w:ascii="Arial" w:hAnsi="Arial" w:cs="Arial"/>
        </w:rPr>
        <w:t>Z</w:t>
      </w:r>
      <w:r w:rsidRPr="00964248">
        <w:rPr>
          <w:rFonts w:ascii="Arial" w:hAnsi="Arial" w:cs="Arial"/>
        </w:rPr>
        <w:t>am</w:t>
      </w:r>
      <w:r>
        <w:rPr>
          <w:rFonts w:ascii="Arial" w:hAnsi="Arial" w:cs="Arial"/>
        </w:rPr>
        <w:t>awiający może badać, czy nie zachodzą wobec podwykonawcy niebędącego podmiotem udostępniającym zasoby</w:t>
      </w:r>
      <w:r w:rsidR="001F4573">
        <w:rPr>
          <w:rFonts w:ascii="Arial" w:hAnsi="Arial" w:cs="Arial"/>
        </w:rPr>
        <w:t>,</w:t>
      </w:r>
      <w:r>
        <w:rPr>
          <w:rFonts w:ascii="Arial" w:hAnsi="Arial" w:cs="Arial"/>
        </w:rPr>
        <w:t xml:space="preserve"> podstawy wykluczenia, o których mowa w art. 108 i 109 ustawy PZP</w:t>
      </w:r>
      <w:r w:rsidR="00C801AC" w:rsidRPr="00964248">
        <w:rPr>
          <w:rFonts w:ascii="Arial" w:hAnsi="Arial" w:cs="Arial"/>
        </w:rPr>
        <w:t>.</w:t>
      </w:r>
    </w:p>
    <w:p w14:paraId="557FDAE0"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3AD2605B" w14:textId="34E6B5D8" w:rsidR="003951C8" w:rsidRDefault="003951C8" w:rsidP="008439BE">
      <w:pPr>
        <w:numPr>
          <w:ilvl w:val="1"/>
          <w:numId w:val="1"/>
        </w:numPr>
        <w:spacing w:after="0" w:line="240" w:lineRule="auto"/>
        <w:ind w:left="709" w:hanging="709"/>
        <w:jc w:val="both"/>
        <w:rPr>
          <w:rFonts w:ascii="Arial" w:hAnsi="Arial" w:cs="Arial"/>
        </w:rPr>
      </w:pPr>
      <w:r>
        <w:rPr>
          <w:rFonts w:ascii="Arial" w:hAnsi="Arial" w:cs="Arial"/>
        </w:rPr>
        <w:t>Środki ochronny prawnej wobec ogłoszenia o zamówieniu oraz dokumentów zamówienia przysługują również organizacjom wpisanym na listę, o której mowa w art. 469 pkt. 15 ustawy PZP</w:t>
      </w:r>
      <w:r w:rsidR="00CB663C">
        <w:rPr>
          <w:rFonts w:ascii="Arial" w:hAnsi="Arial" w:cs="Arial"/>
        </w:rPr>
        <w:t xml:space="preserve">, oraz Rzecznikowi Małych i Średnich Przedsiębiorstw. </w:t>
      </w:r>
    </w:p>
    <w:p w14:paraId="5737314F" w14:textId="6DC1B1E4"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B663C">
      <w:pPr>
        <w:pStyle w:val="Akapitzlist"/>
        <w:numPr>
          <w:ilvl w:val="1"/>
          <w:numId w:val="1"/>
        </w:numPr>
        <w:spacing w:line="240" w:lineRule="auto"/>
        <w:ind w:left="36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B663C">
      <w:pPr>
        <w:pStyle w:val="Akapitzlist"/>
        <w:numPr>
          <w:ilvl w:val="1"/>
          <w:numId w:val="1"/>
        </w:numPr>
        <w:spacing w:line="240" w:lineRule="auto"/>
        <w:ind w:left="36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6B754BB2" w14:textId="4A4D3469"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lastRenderedPageBreak/>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622B56"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22B56">
        <w:rPr>
          <w:rFonts w:ascii="Arial" w:hAnsi="Arial" w:cs="Arial"/>
        </w:rPr>
        <w:t>.</w:t>
      </w:r>
    </w:p>
    <w:p w14:paraId="74E3F97A" w14:textId="2342D4AB" w:rsidR="00C24AE5" w:rsidRPr="00622B56" w:rsidRDefault="00C24AE5" w:rsidP="00C24AE5">
      <w:pPr>
        <w:pStyle w:val="Akapitzlist"/>
        <w:spacing w:after="0" w:line="240" w:lineRule="auto"/>
        <w:ind w:hanging="11"/>
        <w:contextualSpacing w:val="0"/>
        <w:jc w:val="both"/>
        <w:rPr>
          <w:rFonts w:ascii="Arial" w:hAnsi="Arial" w:cs="Arial"/>
        </w:rPr>
      </w:pPr>
      <w:r w:rsidRPr="00622B56">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2B33D7" w:rsidRPr="00622B56">
        <w:rPr>
          <w:rFonts w:ascii="Arial" w:hAnsi="Arial" w:cs="Arial"/>
        </w:rPr>
        <w:t>5,50</w:t>
      </w:r>
      <w:r w:rsidRPr="00622B56">
        <w:rPr>
          <w:rFonts w:ascii="Arial" w:hAnsi="Arial" w:cs="Arial"/>
        </w:rPr>
        <w:t xml:space="preserve"> m) na odcinku o długości nie mniejszej niż </w:t>
      </w:r>
      <w:r w:rsidR="00F51704">
        <w:rPr>
          <w:rFonts w:ascii="Arial" w:hAnsi="Arial" w:cs="Arial"/>
        </w:rPr>
        <w:t>4</w:t>
      </w:r>
      <w:r w:rsidRPr="00622B56">
        <w:rPr>
          <w:rFonts w:ascii="Arial" w:hAnsi="Arial" w:cs="Arial"/>
        </w:rPr>
        <w:t xml:space="preserve"> km, a zakres robót obejmował w szczególności wykonanie co najmniej</w:t>
      </w:r>
      <w:r w:rsidR="00C062EC" w:rsidRPr="00622B56">
        <w:rPr>
          <w:rFonts w:ascii="Arial" w:hAnsi="Arial" w:cs="Arial"/>
        </w:rPr>
        <w:t xml:space="preserve"> </w:t>
      </w:r>
      <w:r w:rsidR="000B043B">
        <w:rPr>
          <w:rFonts w:ascii="Arial" w:hAnsi="Arial" w:cs="Arial"/>
        </w:rPr>
        <w:t>chodnika (placu lub parkingu) z kostki betonowej</w:t>
      </w:r>
      <w:r w:rsidR="00C062EC" w:rsidRPr="00622B56">
        <w:rPr>
          <w:rFonts w:ascii="Arial" w:hAnsi="Arial" w:cs="Arial"/>
        </w:rPr>
        <w:t>,</w:t>
      </w:r>
      <w:r w:rsidRPr="00622B56">
        <w:rPr>
          <w:rFonts w:ascii="Arial" w:hAnsi="Arial" w:cs="Arial"/>
        </w:rPr>
        <w:t xml:space="preserve"> warstwy profilującej (lub warstwy wiążącej) z mieszanki mineralno-asfaltowej</w:t>
      </w:r>
      <w:r w:rsidR="000B043B">
        <w:rPr>
          <w:rFonts w:ascii="Arial" w:hAnsi="Arial" w:cs="Arial"/>
        </w:rPr>
        <w:t xml:space="preserve">, </w:t>
      </w:r>
      <w:r w:rsidRPr="00622B56">
        <w:rPr>
          <w:rFonts w:ascii="Arial" w:hAnsi="Arial" w:cs="Arial"/>
        </w:rPr>
        <w:t xml:space="preserve">warstwy ścieralnej z mieszanki </w:t>
      </w:r>
      <w:proofErr w:type="spellStart"/>
      <w:r w:rsidRPr="00622B56">
        <w:rPr>
          <w:rFonts w:ascii="Arial" w:hAnsi="Arial" w:cs="Arial"/>
        </w:rPr>
        <w:t>mineralno</w:t>
      </w:r>
      <w:proofErr w:type="spellEnd"/>
      <w:r w:rsidR="007C52DC" w:rsidRPr="00622B56">
        <w:rPr>
          <w:rFonts w:ascii="Arial" w:hAnsi="Arial" w:cs="Arial"/>
        </w:rPr>
        <w:t xml:space="preserve"> – </w:t>
      </w:r>
      <w:r w:rsidRPr="00622B56">
        <w:rPr>
          <w:rFonts w:ascii="Arial" w:hAnsi="Arial" w:cs="Arial"/>
        </w:rPr>
        <w:t>bitumicznej</w:t>
      </w:r>
      <w:r w:rsidR="000B043B">
        <w:rPr>
          <w:rFonts w:ascii="Arial" w:hAnsi="Arial" w:cs="Arial"/>
        </w:rPr>
        <w:t xml:space="preserve"> oraz poszerzenia jezdni</w:t>
      </w:r>
      <w:r w:rsidRPr="00622B56">
        <w:rPr>
          <w:rFonts w:ascii="Arial" w:hAnsi="Arial" w:cs="Arial"/>
        </w:rPr>
        <w:t>.</w:t>
      </w:r>
    </w:p>
    <w:p w14:paraId="68E6B820"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rsidP="00671FD0">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w:t>
      </w:r>
      <w:r w:rsidRPr="00A02147">
        <w:rPr>
          <w:rFonts w:ascii="Arial" w:hAnsi="Arial" w:cs="Arial"/>
        </w:rPr>
        <w:lastRenderedPageBreak/>
        <w:t xml:space="preserve">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rsidP="00671FD0">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F11391">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11B27029"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lastRenderedPageBreak/>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766FA98F" w14:textId="5A4AC2E3" w:rsidR="004E5E58" w:rsidRPr="009A2F48" w:rsidRDefault="004E5E58" w:rsidP="004E5E58">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w:t>
      </w:r>
      <w:r w:rsidR="004E20E6" w:rsidRPr="009A2F48">
        <w:rPr>
          <w:rFonts w:ascii="Arial" w:hAnsi="Arial" w:cs="Arial"/>
        </w:rPr>
        <w:t xml:space="preserve">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881FA2">
        <w:rPr>
          <w:rFonts w:ascii="Arial" w:hAnsi="Arial" w:cs="Arial"/>
        </w:rPr>
        <w:t>8</w:t>
      </w:r>
      <w:r w:rsidR="004E20E6" w:rsidRPr="009A2F48">
        <w:rPr>
          <w:rFonts w:ascii="Arial" w:hAnsi="Arial" w:cs="Arial"/>
        </w:rPr>
        <w:t xml:space="preserve"> do SWZ; </w:t>
      </w:r>
    </w:p>
    <w:p w14:paraId="09C793A2" w14:textId="77777777" w:rsidR="009A2F48" w:rsidRPr="009A2F48" w:rsidRDefault="009A2F48" w:rsidP="009A2F48">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01235DC7" w:rsidR="009A2F48" w:rsidRPr="00563A85" w:rsidRDefault="009A2F48" w:rsidP="009A2F48">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0"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45C66DD0"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w:t>
      </w:r>
      <w:r w:rsidRPr="00622B56">
        <w:rPr>
          <w:rFonts w:ascii="Arial" w:hAnsi="Arial" w:cs="Arial"/>
        </w:rPr>
        <w:t xml:space="preserve">terminu składania ofert (jeśli okres prowadzenia działalności jest krótszy -  w tym okresie), wykonawca wykonywał min. </w:t>
      </w:r>
      <w:r w:rsidR="00881FA2" w:rsidRPr="00622B56">
        <w:rPr>
          <w:rFonts w:ascii="Arial" w:hAnsi="Arial" w:cs="Arial"/>
        </w:rPr>
        <w:t>2</w:t>
      </w:r>
      <w:r w:rsidRPr="00622B56">
        <w:rPr>
          <w:rFonts w:ascii="Arial" w:hAnsi="Arial" w:cs="Arial"/>
        </w:rPr>
        <w:t xml:space="preserve"> robot</w:t>
      </w:r>
      <w:r w:rsidR="00881FA2" w:rsidRPr="00622B56">
        <w:rPr>
          <w:rFonts w:ascii="Arial" w:hAnsi="Arial" w:cs="Arial"/>
        </w:rPr>
        <w:t>y</w:t>
      </w:r>
      <w:r w:rsidRPr="00622B56">
        <w:rPr>
          <w:rFonts w:ascii="Arial" w:hAnsi="Arial" w:cs="Arial"/>
        </w:rPr>
        <w:t xml:space="preserve"> odpowiadając</w:t>
      </w:r>
      <w:r w:rsidR="00881FA2" w:rsidRPr="00622B56">
        <w:rPr>
          <w:rFonts w:ascii="Arial" w:hAnsi="Arial" w:cs="Arial"/>
        </w:rPr>
        <w:t>e</w:t>
      </w:r>
      <w:r w:rsidRPr="00622B56">
        <w:rPr>
          <w:rFonts w:ascii="Arial" w:hAnsi="Arial" w:cs="Arial"/>
        </w:rPr>
        <w:t xml:space="preserve"> swoim rodzajem robocie budowlanej stanowiącej przedmiot zamówienia o wartości nie mniejszej niż połowa oferowanej ceny brutto każda tj. takich które polegały na budowie/przebudowie drogi o nawierzchni asfaltowej (szer. min </w:t>
      </w:r>
      <w:r w:rsidR="00881FA2" w:rsidRPr="00622B56">
        <w:rPr>
          <w:rFonts w:ascii="Arial" w:hAnsi="Arial" w:cs="Arial"/>
        </w:rPr>
        <w:t>5,50</w:t>
      </w:r>
      <w:r w:rsidRPr="00622B56">
        <w:rPr>
          <w:rFonts w:ascii="Arial" w:hAnsi="Arial" w:cs="Arial"/>
        </w:rPr>
        <w:t xml:space="preserve"> m) na odcinku o długości nie mniejszej niż </w:t>
      </w:r>
      <w:r w:rsidR="000B043B">
        <w:rPr>
          <w:rFonts w:ascii="Arial" w:hAnsi="Arial" w:cs="Arial"/>
        </w:rPr>
        <w:t>4</w:t>
      </w:r>
      <w:r w:rsidRPr="00622B56">
        <w:rPr>
          <w:rFonts w:ascii="Arial" w:hAnsi="Arial" w:cs="Arial"/>
        </w:rPr>
        <w:t xml:space="preserve"> km, a zakres robót obejmował w szczególności wykonanie co najmniej </w:t>
      </w:r>
      <w:r w:rsidR="000B043B">
        <w:rPr>
          <w:rFonts w:ascii="Arial" w:hAnsi="Arial" w:cs="Arial"/>
        </w:rPr>
        <w:t>chodnika (placu lub parkingu) z kostki betonowej</w:t>
      </w:r>
      <w:r w:rsidRPr="00622B56">
        <w:rPr>
          <w:rFonts w:ascii="Arial" w:hAnsi="Arial" w:cs="Arial"/>
        </w:rPr>
        <w:t>, warstwy profilującej (lub warstwy wiążącej) z mieszanki mineralno-asfaltowej, warstwy ścieralnej z mieszanki mineralno-bitumicznej</w:t>
      </w:r>
      <w:r w:rsidR="000B043B">
        <w:rPr>
          <w:rFonts w:ascii="Arial" w:hAnsi="Arial" w:cs="Arial"/>
        </w:rPr>
        <w:t xml:space="preserve"> oraz poszerzenia jezdni</w:t>
      </w:r>
      <w:r w:rsidRPr="00622B56">
        <w:rPr>
          <w:rFonts w:ascii="Arial" w:hAnsi="Arial" w:cs="Arial"/>
        </w:rPr>
        <w:t>.</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0"/>
    <w:p w14:paraId="52EC3AED" w14:textId="15BBA0AF" w:rsidR="00563A85" w:rsidRPr="00DA3A03" w:rsidRDefault="00563A85" w:rsidP="00563A85">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rsidP="00563A85">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w:t>
      </w:r>
      <w:r w:rsidRPr="00DA3A03">
        <w:rPr>
          <w:rFonts w:ascii="Arial" w:hAnsi="Arial" w:cs="Arial"/>
        </w:rPr>
        <w:lastRenderedPageBreak/>
        <w:t xml:space="preserve">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23506552"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t>
      </w:r>
      <w:r w:rsidR="00DA3A03" w:rsidRPr="00E25893">
        <w:rPr>
          <w:rFonts w:ascii="Arial" w:hAnsi="Arial" w:cs="Arial"/>
        </w:rPr>
        <w:t xml:space="preserve">(wzór załącznik nr </w:t>
      </w:r>
      <w:r w:rsidR="00881FA2">
        <w:rPr>
          <w:rFonts w:ascii="Arial" w:hAnsi="Arial" w:cs="Arial"/>
        </w:rPr>
        <w:t>7</w:t>
      </w:r>
      <w:r w:rsidR="00DA3A03" w:rsidRPr="00E25893">
        <w:rPr>
          <w:rFonts w:ascii="Arial" w:hAnsi="Arial" w:cs="Arial"/>
        </w:rPr>
        <w:t xml:space="preserve">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7052CF55" w14:textId="77777777" w:rsidR="00DA3A03" w:rsidRPr="00E25893" w:rsidRDefault="00DA3A03" w:rsidP="00DA3A03">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7AC6B6B5"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1" w:name="_Hlk65651074"/>
      <w:r w:rsidRPr="00B32629">
        <w:rPr>
          <w:rFonts w:ascii="Arial" w:hAnsi="Arial" w:cs="Arial"/>
        </w:rPr>
        <w:t xml:space="preserve">w art. 125 ust. 1 ustawy PZP </w:t>
      </w:r>
      <w:bookmarkEnd w:id="11"/>
      <w:r w:rsidRPr="00B32629">
        <w:rPr>
          <w:rFonts w:ascii="Arial" w:hAnsi="Arial" w:cs="Arial"/>
        </w:rPr>
        <w:t>dane umożliwiające dostęp do tych środków;</w:t>
      </w:r>
    </w:p>
    <w:p w14:paraId="7574DA88" w14:textId="155356EE"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w:t>
      </w:r>
      <w:r w:rsidR="00285D89" w:rsidRPr="0033357E">
        <w:rPr>
          <w:rFonts w:ascii="Arial" w:hAnsi="Arial" w:cs="Arial"/>
        </w:rPr>
        <w:lastRenderedPageBreak/>
        <w:t>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6C2D7F">
        <w:rPr>
          <w:color w:val="auto"/>
          <w:sz w:val="22"/>
          <w:szCs w:val="22"/>
        </w:rPr>
        <w:lastRenderedPageBreak/>
        <w:t>może być wyeliminowane w inny sposób niż przez wykluczenie wykonawcy z udziału w postępowaniu o udzielenie zamówienia.</w:t>
      </w:r>
    </w:p>
    <w:p w14:paraId="700D42F0" w14:textId="2280170C" w:rsidR="006C2D7F" w:rsidRPr="00095A3D" w:rsidRDefault="006C2D7F" w:rsidP="00544EF5">
      <w:pPr>
        <w:pStyle w:val="Default"/>
        <w:ind w:left="720"/>
        <w:jc w:val="both"/>
        <w:rPr>
          <w:color w:val="auto"/>
          <w:sz w:val="22"/>
          <w:szCs w:val="22"/>
        </w:rPr>
      </w:pPr>
      <w:r w:rsidRPr="00095A3D">
        <w:rPr>
          <w:color w:val="auto"/>
          <w:sz w:val="22"/>
          <w:szCs w:val="22"/>
        </w:rPr>
        <w:t xml:space="preserve">7) </w:t>
      </w:r>
      <w:r w:rsidR="001152A6" w:rsidRPr="00095A3D">
        <w:rPr>
          <w:color w:val="auto"/>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w:t>
      </w:r>
      <w:r w:rsidR="00732E97">
        <w:rPr>
          <w:color w:val="auto"/>
          <w:sz w:val="22"/>
          <w:szCs w:val="22"/>
        </w:rPr>
        <w:t>a</w:t>
      </w:r>
      <w:r w:rsidR="001152A6" w:rsidRPr="00095A3D">
        <w:rPr>
          <w:color w:val="auto"/>
          <w:sz w:val="22"/>
          <w:szCs w:val="22"/>
        </w:rPr>
        <w:t xml:space="preserve">mi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2700EFBE" w:rsid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9FA1154" w14:textId="779FC089" w:rsidR="00732E97" w:rsidRPr="00095A3D" w:rsidRDefault="001D14C2" w:rsidP="00544EF5">
      <w:pPr>
        <w:pStyle w:val="Default"/>
        <w:ind w:left="720"/>
        <w:jc w:val="both"/>
        <w:rPr>
          <w:color w:val="auto"/>
          <w:sz w:val="22"/>
          <w:szCs w:val="22"/>
        </w:rPr>
      </w:pPr>
      <w:r>
        <w:rPr>
          <w:color w:val="auto"/>
          <w:sz w:val="22"/>
          <w:szCs w:val="22"/>
        </w:rPr>
        <w:t xml:space="preserve">10) który, 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w:t>
      </w:r>
      <w:r w:rsidR="00F25D34">
        <w:rPr>
          <w:color w:val="auto"/>
          <w:sz w:val="22"/>
          <w:szCs w:val="22"/>
        </w:rPr>
        <w:t xml:space="preserve">realizacji uprawnień z tytułu rękojmi za wady. </w:t>
      </w:r>
    </w:p>
    <w:p w14:paraId="0A1A6160" w14:textId="306E046A" w:rsidR="00FA14A4" w:rsidRPr="00095A3D" w:rsidRDefault="00544EF5" w:rsidP="008439BE">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11F87734"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w:t>
      </w:r>
      <w:r w:rsidR="00E64C3B">
        <w:rPr>
          <w:rFonts w:ascii="Arial" w:hAnsi="Arial" w:cs="Arial"/>
        </w:rPr>
        <w:t>ostepowania</w:t>
      </w:r>
      <w:r w:rsidRPr="00F11391">
        <w:rPr>
          <w:rFonts w:ascii="Arial" w:hAnsi="Arial" w:cs="Arial"/>
        </w:rPr>
        <w:t>,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77777777" w:rsidR="00AF04CF" w:rsidRPr="00671FD0" w:rsidRDefault="00AF04CF"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lastRenderedPageBreak/>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51B76378" w14:textId="5E4BBEE6" w:rsidR="00E25893" w:rsidRPr="00881FA2"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1AE75BAB" w14:textId="77777777" w:rsidR="00881FA2" w:rsidRPr="00CA7C15" w:rsidRDefault="00881FA2" w:rsidP="00881FA2">
      <w:pPr>
        <w:spacing w:after="0" w:line="240" w:lineRule="auto"/>
        <w:ind w:left="720"/>
        <w:jc w:val="both"/>
        <w:rPr>
          <w:rFonts w:ascii="Arial" w:hAnsi="Arial" w:cs="Arial"/>
          <w:color w:val="FF0000"/>
        </w:rPr>
      </w:pPr>
    </w:p>
    <w:p w14:paraId="7C373AFF" w14:textId="73CA164A" w:rsidR="00B86CAE"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20194754" w14:textId="77777777" w:rsidR="00CD2451" w:rsidRPr="00237CC9" w:rsidRDefault="00CD2451" w:rsidP="00F13B7F">
      <w:pPr>
        <w:pStyle w:val="Akapitzlist"/>
        <w:numPr>
          <w:ilvl w:val="1"/>
          <w:numId w:val="1"/>
        </w:numPr>
        <w:spacing w:after="0" w:line="240" w:lineRule="auto"/>
        <w:contextualSpacing w:val="0"/>
        <w:rPr>
          <w:rFonts w:ascii="Arial" w:hAnsi="Arial" w:cs="Arial"/>
          <w:bCs/>
        </w:rPr>
      </w:pP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3"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237CC9">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237CC9">
      <w:pPr>
        <w:spacing w:after="150" w:line="240" w:lineRule="auto"/>
        <w:ind w:left="774"/>
        <w:jc w:val="both"/>
        <w:rPr>
          <w:rFonts w:eastAsia="Times New Roman" w:cs="Calibri"/>
          <w:lang w:eastAsia="pl-PL"/>
        </w:rPr>
      </w:pPr>
      <w:r w:rsidRPr="00313D65">
        <w:rPr>
          <w:rFonts w:ascii="Arial" w:eastAsia="Times New Roman" w:hAnsi="Arial" w:cs="Arial"/>
          <w:lang w:eastAsia="pl-PL"/>
        </w:rPr>
        <w:lastRenderedPageBreak/>
        <w:t xml:space="preserve">Nie przysługuje Pani/ Panu: </w:t>
      </w:r>
    </w:p>
    <w:p w14:paraId="0BC81337"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425100B9" w:rsidR="0051203E" w:rsidRPr="00E017B7" w:rsidRDefault="0051203E" w:rsidP="00237CC9">
      <w:pPr>
        <w:pStyle w:val="Akapitzlist"/>
        <w:numPr>
          <w:ilvl w:val="0"/>
          <w:numId w:val="47"/>
        </w:numPr>
        <w:spacing w:after="150" w:line="240" w:lineRule="auto"/>
        <w:ind w:left="1134"/>
        <w:jc w:val="both"/>
        <w:rPr>
          <w:rFonts w:eastAsia="Times New Roman" w:cs="Calibri"/>
          <w:lang w:eastAsia="pl-PL"/>
        </w:rPr>
      </w:pPr>
      <w:r w:rsidRPr="00E017B7">
        <w:rPr>
          <w:rFonts w:ascii="Arial" w:eastAsia="Times New Roman" w:hAnsi="Arial" w:cs="Arial"/>
          <w:lang w:eastAsia="pl-PL"/>
        </w:rPr>
        <w:t xml:space="preserve">na podstawie art. 21 RODO prawo sprzeciwu, wobec przetwarzania danych osobowych, </w:t>
      </w:r>
      <w:r w:rsidR="00E017B7" w:rsidRPr="00E017B7">
        <w:rPr>
          <w:rFonts w:ascii="Arial" w:eastAsia="Times New Roman" w:hAnsi="Arial" w:cs="Arial"/>
          <w:lang w:eastAsia="pl-PL"/>
        </w:rPr>
        <w:t xml:space="preserve">gdyż podstawą prawną przetwarzania Pani/ Pana danych osobowych jest art. 6 ust. 1 lit. </w:t>
      </w:r>
      <w:r w:rsidR="00E017B7">
        <w:rPr>
          <w:rFonts w:ascii="Arial" w:eastAsia="Times New Roman" w:hAnsi="Arial" w:cs="Arial"/>
          <w:lang w:eastAsia="pl-PL"/>
        </w:rPr>
        <w:t>c</w:t>
      </w:r>
      <w:r w:rsidR="00E017B7" w:rsidRPr="00E017B7">
        <w:rPr>
          <w:rFonts w:ascii="Arial" w:eastAsia="Times New Roman" w:hAnsi="Arial" w:cs="Arial"/>
          <w:lang w:eastAsia="pl-PL"/>
        </w:rPr>
        <w:t xml:space="preserve"> RODO</w:t>
      </w:r>
    </w:p>
    <w:p w14:paraId="62D4BED4" w14:textId="77777777" w:rsidR="0051203E" w:rsidRPr="00F722FD" w:rsidRDefault="0051203E" w:rsidP="00237CC9">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4"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56"/>
  </w:num>
  <w:num w:numId="5">
    <w:abstractNumId w:val="35"/>
  </w:num>
  <w:num w:numId="6">
    <w:abstractNumId w:val="46"/>
  </w:num>
  <w:num w:numId="7">
    <w:abstractNumId w:val="1"/>
  </w:num>
  <w:num w:numId="8">
    <w:abstractNumId w:val="36"/>
  </w:num>
  <w:num w:numId="9">
    <w:abstractNumId w:val="12"/>
  </w:num>
  <w:num w:numId="10">
    <w:abstractNumId w:val="28"/>
  </w:num>
  <w:num w:numId="11">
    <w:abstractNumId w:val="16"/>
  </w:num>
  <w:num w:numId="12">
    <w:abstractNumId w:val="6"/>
  </w:num>
  <w:num w:numId="13">
    <w:abstractNumId w:val="34"/>
  </w:num>
  <w:num w:numId="14">
    <w:abstractNumId w:val="54"/>
  </w:num>
  <w:num w:numId="15">
    <w:abstractNumId w:val="14"/>
  </w:num>
  <w:num w:numId="16">
    <w:abstractNumId w:val="17"/>
  </w:num>
  <w:num w:numId="17">
    <w:abstractNumId w:val="44"/>
  </w:num>
  <w:num w:numId="18">
    <w:abstractNumId w:val="10"/>
  </w:num>
  <w:num w:numId="19">
    <w:abstractNumId w:val="39"/>
  </w:num>
  <w:num w:numId="20">
    <w:abstractNumId w:val="30"/>
  </w:num>
  <w:num w:numId="21">
    <w:abstractNumId w:val="32"/>
  </w:num>
  <w:num w:numId="22">
    <w:abstractNumId w:val="47"/>
  </w:num>
  <w:num w:numId="23">
    <w:abstractNumId w:val="41"/>
  </w:num>
  <w:num w:numId="24">
    <w:abstractNumId w:val="4"/>
  </w:num>
  <w:num w:numId="25">
    <w:abstractNumId w:val="5"/>
  </w:num>
  <w:num w:numId="26">
    <w:abstractNumId w:val="8"/>
  </w:num>
  <w:num w:numId="27">
    <w:abstractNumId w:val="22"/>
  </w:num>
  <w:num w:numId="28">
    <w:abstractNumId w:val="37"/>
  </w:num>
  <w:num w:numId="29">
    <w:abstractNumId w:val="50"/>
  </w:num>
  <w:num w:numId="30">
    <w:abstractNumId w:val="9"/>
  </w:num>
  <w:num w:numId="31">
    <w:abstractNumId w:val="21"/>
  </w:num>
  <w:num w:numId="32">
    <w:abstractNumId w:val="55"/>
  </w:num>
  <w:num w:numId="33">
    <w:abstractNumId w:val="51"/>
  </w:num>
  <w:num w:numId="34">
    <w:abstractNumId w:val="33"/>
  </w:num>
  <w:num w:numId="35">
    <w:abstractNumId w:val="7"/>
  </w:num>
  <w:num w:numId="36">
    <w:abstractNumId w:val="53"/>
  </w:num>
  <w:num w:numId="37">
    <w:abstractNumId w:val="20"/>
  </w:num>
  <w:num w:numId="38">
    <w:abstractNumId w:val="38"/>
  </w:num>
  <w:num w:numId="39">
    <w:abstractNumId w:val="3"/>
  </w:num>
  <w:num w:numId="40">
    <w:abstractNumId w:val="19"/>
  </w:num>
  <w:num w:numId="41">
    <w:abstractNumId w:val="18"/>
  </w:num>
  <w:num w:numId="42">
    <w:abstractNumId w:val="42"/>
  </w:num>
  <w:num w:numId="43">
    <w:abstractNumId w:val="43"/>
  </w:num>
  <w:num w:numId="44">
    <w:abstractNumId w:val="40"/>
  </w:num>
  <w:num w:numId="45">
    <w:abstractNumId w:val="15"/>
  </w:num>
  <w:num w:numId="46">
    <w:abstractNumId w:val="13"/>
  </w:num>
  <w:num w:numId="47">
    <w:abstractNumId w:val="25"/>
  </w:num>
  <w:num w:numId="48">
    <w:abstractNumId w:val="31"/>
  </w:num>
  <w:num w:numId="49">
    <w:abstractNumId w:val="52"/>
  </w:num>
  <w:num w:numId="50">
    <w:abstractNumId w:val="11"/>
  </w:num>
  <w:num w:numId="51">
    <w:abstractNumId w:val="48"/>
  </w:num>
  <w:num w:numId="52">
    <w:abstractNumId w:val="49"/>
  </w:num>
  <w:num w:numId="53">
    <w:abstractNumId w:val="27"/>
  </w:num>
  <w:num w:numId="54">
    <w:abstractNumId w:val="24"/>
  </w:num>
  <w:num w:numId="55">
    <w:abstractNumId w:val="45"/>
  </w:num>
  <w:num w:numId="56">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043B"/>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D670F"/>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15C7"/>
    <w:rsid w:val="00112504"/>
    <w:rsid w:val="00113FC1"/>
    <w:rsid w:val="00115110"/>
    <w:rsid w:val="001152A6"/>
    <w:rsid w:val="00116A98"/>
    <w:rsid w:val="00116CA4"/>
    <w:rsid w:val="00116E00"/>
    <w:rsid w:val="00117E32"/>
    <w:rsid w:val="001206F8"/>
    <w:rsid w:val="001239CE"/>
    <w:rsid w:val="00123DC0"/>
    <w:rsid w:val="001250DC"/>
    <w:rsid w:val="001255DB"/>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86E58"/>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14C2"/>
    <w:rsid w:val="001D5F96"/>
    <w:rsid w:val="001D7569"/>
    <w:rsid w:val="001D7A29"/>
    <w:rsid w:val="001D7CDD"/>
    <w:rsid w:val="001E0294"/>
    <w:rsid w:val="001E0861"/>
    <w:rsid w:val="001E559E"/>
    <w:rsid w:val="001E5D0F"/>
    <w:rsid w:val="001E5DC6"/>
    <w:rsid w:val="001F1702"/>
    <w:rsid w:val="001F199D"/>
    <w:rsid w:val="001F2301"/>
    <w:rsid w:val="001F3D88"/>
    <w:rsid w:val="001F417E"/>
    <w:rsid w:val="001F4573"/>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37CC9"/>
    <w:rsid w:val="00240040"/>
    <w:rsid w:val="00243E23"/>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33D7"/>
    <w:rsid w:val="002B6297"/>
    <w:rsid w:val="002B69C2"/>
    <w:rsid w:val="002B7AC6"/>
    <w:rsid w:val="002B7D0E"/>
    <w:rsid w:val="002C08DF"/>
    <w:rsid w:val="002C15A5"/>
    <w:rsid w:val="002C1ED9"/>
    <w:rsid w:val="002C483E"/>
    <w:rsid w:val="002D0A01"/>
    <w:rsid w:val="002D0C3A"/>
    <w:rsid w:val="002D1304"/>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0C6A"/>
    <w:rsid w:val="002F1B60"/>
    <w:rsid w:val="002F1CA9"/>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51C8"/>
    <w:rsid w:val="00396275"/>
    <w:rsid w:val="003A0530"/>
    <w:rsid w:val="003A17E4"/>
    <w:rsid w:val="003A3E6C"/>
    <w:rsid w:val="003A45E9"/>
    <w:rsid w:val="003A560D"/>
    <w:rsid w:val="003A5A3F"/>
    <w:rsid w:val="003A66A7"/>
    <w:rsid w:val="003B0A64"/>
    <w:rsid w:val="003B1297"/>
    <w:rsid w:val="003B25F2"/>
    <w:rsid w:val="003B270E"/>
    <w:rsid w:val="003B3E2C"/>
    <w:rsid w:val="003B3FBC"/>
    <w:rsid w:val="003B4A58"/>
    <w:rsid w:val="003B5A01"/>
    <w:rsid w:val="003B64DE"/>
    <w:rsid w:val="003B7274"/>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DBE"/>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356BA"/>
    <w:rsid w:val="0044251B"/>
    <w:rsid w:val="00444E22"/>
    <w:rsid w:val="004572F4"/>
    <w:rsid w:val="004579DB"/>
    <w:rsid w:val="00462766"/>
    <w:rsid w:val="00462B78"/>
    <w:rsid w:val="00462FD0"/>
    <w:rsid w:val="00463062"/>
    <w:rsid w:val="00463209"/>
    <w:rsid w:val="004636E9"/>
    <w:rsid w:val="00463A0F"/>
    <w:rsid w:val="00464FC5"/>
    <w:rsid w:val="004666D7"/>
    <w:rsid w:val="0046691C"/>
    <w:rsid w:val="00467C06"/>
    <w:rsid w:val="00467CB3"/>
    <w:rsid w:val="0047021E"/>
    <w:rsid w:val="00472DB0"/>
    <w:rsid w:val="0047328C"/>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3A7"/>
    <w:rsid w:val="00573982"/>
    <w:rsid w:val="005767CF"/>
    <w:rsid w:val="0057690F"/>
    <w:rsid w:val="0058309C"/>
    <w:rsid w:val="00591388"/>
    <w:rsid w:val="005950ED"/>
    <w:rsid w:val="005A0D5E"/>
    <w:rsid w:val="005A2681"/>
    <w:rsid w:val="005A4BB9"/>
    <w:rsid w:val="005A55F3"/>
    <w:rsid w:val="005A672E"/>
    <w:rsid w:val="005A71C7"/>
    <w:rsid w:val="005A7206"/>
    <w:rsid w:val="005B0946"/>
    <w:rsid w:val="005B461B"/>
    <w:rsid w:val="005B48FA"/>
    <w:rsid w:val="005B4A0B"/>
    <w:rsid w:val="005B4CDF"/>
    <w:rsid w:val="005B6A8E"/>
    <w:rsid w:val="005B73A0"/>
    <w:rsid w:val="005C1780"/>
    <w:rsid w:val="005C682F"/>
    <w:rsid w:val="005D0154"/>
    <w:rsid w:val="005D133B"/>
    <w:rsid w:val="005D25B6"/>
    <w:rsid w:val="005D4CDF"/>
    <w:rsid w:val="005D6B69"/>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2B56"/>
    <w:rsid w:val="006235C4"/>
    <w:rsid w:val="00623B2B"/>
    <w:rsid w:val="00625A89"/>
    <w:rsid w:val="006275D6"/>
    <w:rsid w:val="0063152E"/>
    <w:rsid w:val="00631625"/>
    <w:rsid w:val="00636E2A"/>
    <w:rsid w:val="0063749B"/>
    <w:rsid w:val="0064285F"/>
    <w:rsid w:val="006433CA"/>
    <w:rsid w:val="00643935"/>
    <w:rsid w:val="00644A9E"/>
    <w:rsid w:val="00646254"/>
    <w:rsid w:val="006475E8"/>
    <w:rsid w:val="0065190F"/>
    <w:rsid w:val="006530B3"/>
    <w:rsid w:val="00654FC3"/>
    <w:rsid w:val="00655B3D"/>
    <w:rsid w:val="00656E42"/>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B78C4"/>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1E9F"/>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34FB"/>
    <w:rsid w:val="007273E5"/>
    <w:rsid w:val="00732661"/>
    <w:rsid w:val="00732E97"/>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7C2"/>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7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0A3B"/>
    <w:rsid w:val="0082355F"/>
    <w:rsid w:val="00824C6D"/>
    <w:rsid w:val="00826470"/>
    <w:rsid w:val="00827DE4"/>
    <w:rsid w:val="00827E07"/>
    <w:rsid w:val="00830847"/>
    <w:rsid w:val="00832E72"/>
    <w:rsid w:val="00834C1F"/>
    <w:rsid w:val="00835B09"/>
    <w:rsid w:val="00835D41"/>
    <w:rsid w:val="00836993"/>
    <w:rsid w:val="008369EE"/>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1FA2"/>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26E3"/>
    <w:rsid w:val="008D3758"/>
    <w:rsid w:val="008D5D5C"/>
    <w:rsid w:val="008D64F8"/>
    <w:rsid w:val="008E0005"/>
    <w:rsid w:val="008E38EF"/>
    <w:rsid w:val="008E3E96"/>
    <w:rsid w:val="008E6897"/>
    <w:rsid w:val="008F406A"/>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D74D1"/>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4DA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0EF"/>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626A"/>
    <w:rsid w:val="00B82CC2"/>
    <w:rsid w:val="00B83A41"/>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A6D36"/>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2EC"/>
    <w:rsid w:val="00C06D3E"/>
    <w:rsid w:val="00C12615"/>
    <w:rsid w:val="00C13276"/>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4793"/>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B663C"/>
    <w:rsid w:val="00CC0E5C"/>
    <w:rsid w:val="00CC14E8"/>
    <w:rsid w:val="00CC6057"/>
    <w:rsid w:val="00CD0DCF"/>
    <w:rsid w:val="00CD15B8"/>
    <w:rsid w:val="00CD2451"/>
    <w:rsid w:val="00CD5015"/>
    <w:rsid w:val="00CD5267"/>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2388"/>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5A7"/>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3C88"/>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17B7"/>
    <w:rsid w:val="00E02D38"/>
    <w:rsid w:val="00E06D8A"/>
    <w:rsid w:val="00E12756"/>
    <w:rsid w:val="00E137C0"/>
    <w:rsid w:val="00E17EC1"/>
    <w:rsid w:val="00E20564"/>
    <w:rsid w:val="00E24F7A"/>
    <w:rsid w:val="00E25893"/>
    <w:rsid w:val="00E27256"/>
    <w:rsid w:val="00E32B9D"/>
    <w:rsid w:val="00E3323B"/>
    <w:rsid w:val="00E35F75"/>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C3B"/>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EF6C3E"/>
    <w:rsid w:val="00F03C98"/>
    <w:rsid w:val="00F06AD1"/>
    <w:rsid w:val="00F11391"/>
    <w:rsid w:val="00F114FD"/>
    <w:rsid w:val="00F13B7F"/>
    <w:rsid w:val="00F13B87"/>
    <w:rsid w:val="00F2093F"/>
    <w:rsid w:val="00F215BA"/>
    <w:rsid w:val="00F2530D"/>
    <w:rsid w:val="00F25D34"/>
    <w:rsid w:val="00F25E52"/>
    <w:rsid w:val="00F278A4"/>
    <w:rsid w:val="00F314FA"/>
    <w:rsid w:val="00F32D28"/>
    <w:rsid w:val="00F32D6D"/>
    <w:rsid w:val="00F3476F"/>
    <w:rsid w:val="00F34E9D"/>
    <w:rsid w:val="00F44463"/>
    <w:rsid w:val="00F45215"/>
    <w:rsid w:val="00F46AB6"/>
    <w:rsid w:val="00F47BF4"/>
    <w:rsid w:val="00F5117A"/>
    <w:rsid w:val="00F51704"/>
    <w:rsid w:val="00F61E09"/>
    <w:rsid w:val="00F63294"/>
    <w:rsid w:val="00F65973"/>
    <w:rsid w:val="00F6709E"/>
    <w:rsid w:val="00F675FD"/>
    <w:rsid w:val="00F722FD"/>
    <w:rsid w:val="00F735BD"/>
    <w:rsid w:val="00F76BB1"/>
    <w:rsid w:val="00F812F0"/>
    <w:rsid w:val="00F81E2F"/>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0AD0"/>
    <w:rsid w:val="00FB1486"/>
    <w:rsid w:val="00FB3620"/>
    <w:rsid w:val="00FB3DE0"/>
    <w:rsid w:val="00FB48DC"/>
    <w:rsid w:val="00FC012A"/>
    <w:rsid w:val="00FC2BA3"/>
    <w:rsid w:val="00FC3383"/>
    <w:rsid w:val="00FC5939"/>
    <w:rsid w:val="00FC5E86"/>
    <w:rsid w:val="00FD13BB"/>
    <w:rsid w:val="00FD1B17"/>
    <w:rsid w:val="00FD29F1"/>
    <w:rsid w:val="00FD2D13"/>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6555">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 w:id="1420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miejski.pl/zamowienia_publiczne/" TargetMode="External"/><Relationship Id="rId13" Type="http://schemas.openxmlformats.org/officeDocument/2006/relationships/hyperlink" Target="mailto:iod@powiat-nowomiejski.pl" TargetMode="External"/><Relationship Id="rId3" Type="http://schemas.openxmlformats.org/officeDocument/2006/relationships/styles" Target="styles.xml"/><Relationship Id="rId7" Type="http://schemas.openxmlformats.org/officeDocument/2006/relationships/hyperlink" Target="http://www.powiat-nowomiejski.pl" TargetMode="External"/><Relationship Id="rId12" Type="http://schemas.openxmlformats.org/officeDocument/2006/relationships/hyperlink" Target="mailto:zdpnm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sekretariat@powiat-nowomiej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9913</Words>
  <Characters>59478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69253</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26</cp:revision>
  <cp:lastPrinted>2021-03-05T10:22:00Z</cp:lastPrinted>
  <dcterms:created xsi:type="dcterms:W3CDTF">2021-12-22T09:36:00Z</dcterms:created>
  <dcterms:modified xsi:type="dcterms:W3CDTF">2022-03-25T10:06:00Z</dcterms:modified>
</cp:coreProperties>
</file>